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2F8A" w14:textId="313BE4B9" w:rsidR="00165A03" w:rsidRPr="00165A03" w:rsidRDefault="00BE0D59" w:rsidP="00165A03">
      <w:pPr>
        <w:pStyle w:val="Heading1"/>
        <w:jc w:val="center"/>
        <w:rPr>
          <w:color w:val="000000"/>
          <w:sz w:val="22"/>
          <w:szCs w:val="22"/>
        </w:rPr>
      </w:pPr>
      <w:r>
        <w:rPr>
          <w:color w:val="000000"/>
          <w:sz w:val="22"/>
          <w:szCs w:val="22"/>
        </w:rPr>
        <w:t xml:space="preserve">Potential </w:t>
      </w:r>
      <w:r w:rsidR="00823761">
        <w:rPr>
          <w:color w:val="000000"/>
          <w:sz w:val="22"/>
          <w:szCs w:val="22"/>
        </w:rPr>
        <w:t xml:space="preserve">GOMEKLI </w:t>
      </w:r>
      <w:r>
        <w:rPr>
          <w:color w:val="000000"/>
          <w:sz w:val="22"/>
          <w:szCs w:val="22"/>
        </w:rPr>
        <w:t>Utilization Management Document</w:t>
      </w:r>
    </w:p>
    <w:p w14:paraId="53B48DC9" w14:textId="47D860D5" w:rsidR="00165A03" w:rsidRDefault="00165A03" w:rsidP="00165A03">
      <w:pPr>
        <w:rPr>
          <w:rFonts w:ascii="Arial" w:hAnsi="Arial" w:cs="Arial"/>
          <w:b/>
          <w:bCs/>
          <w:sz w:val="22"/>
          <w:szCs w:val="22"/>
        </w:rPr>
      </w:pPr>
    </w:p>
    <w:p w14:paraId="50B02AE4" w14:textId="77777777" w:rsidR="00165A03" w:rsidRPr="00B00011" w:rsidRDefault="00165A03" w:rsidP="00165A03">
      <w:pPr>
        <w:rPr>
          <w:rFonts w:ascii="Arial" w:hAnsi="Arial" w:cs="Arial"/>
          <w:b/>
          <w:bCs/>
          <w:color w:val="000000"/>
          <w:sz w:val="22"/>
          <w:szCs w:val="22"/>
          <w:u w:val="single"/>
        </w:rPr>
      </w:pPr>
      <w:r w:rsidRPr="00B00011">
        <w:rPr>
          <w:rFonts w:ascii="Arial" w:hAnsi="Arial" w:cs="Arial"/>
          <w:b/>
          <w:bCs/>
          <w:color w:val="000000"/>
          <w:sz w:val="22"/>
          <w:szCs w:val="22"/>
          <w:u w:val="single"/>
        </w:rPr>
        <w:t>Product Overview</w:t>
      </w:r>
    </w:p>
    <w:p w14:paraId="116A42A0" w14:textId="77777777" w:rsidR="00165A03" w:rsidRPr="00B00011" w:rsidRDefault="00165A03" w:rsidP="00165A03">
      <w:pPr>
        <w:rPr>
          <w:rFonts w:ascii="Arial" w:hAnsi="Arial" w:cs="Arial"/>
          <w:b/>
          <w:bCs/>
          <w:color w:val="000000"/>
          <w:sz w:val="22"/>
          <w:szCs w:val="22"/>
        </w:rPr>
      </w:pPr>
    </w:p>
    <w:p w14:paraId="348AA6C7" w14:textId="12C2A4B3" w:rsidR="00165A03" w:rsidRPr="00B00011" w:rsidRDefault="00943910" w:rsidP="00165A03">
      <w:pPr>
        <w:rPr>
          <w:rFonts w:ascii="Arial" w:hAnsi="Arial" w:cs="Arial"/>
          <w:color w:val="000000"/>
          <w:sz w:val="22"/>
          <w:szCs w:val="22"/>
        </w:rPr>
      </w:pPr>
      <w:r w:rsidRPr="00B00011">
        <w:rPr>
          <w:rFonts w:ascii="Arial" w:hAnsi="Arial" w:cs="Arial"/>
          <w:color w:val="000000"/>
          <w:sz w:val="22"/>
          <w:szCs w:val="22"/>
        </w:rPr>
        <w:t>GOMEKLI</w:t>
      </w:r>
      <w:r w:rsidR="00823761" w:rsidRPr="00B00011">
        <w:rPr>
          <w:rFonts w:ascii="Arial" w:hAnsi="Arial" w:cs="Arial"/>
          <w:color w:val="000000"/>
          <w:sz w:val="22"/>
          <w:szCs w:val="22"/>
        </w:rPr>
        <w:t>™ (mirdametinib)</w:t>
      </w:r>
      <w:r w:rsidR="00612EAE" w:rsidRPr="00B00011">
        <w:rPr>
          <w:rFonts w:ascii="Arial" w:hAnsi="Arial" w:cs="Arial"/>
          <w:color w:val="000000"/>
          <w:sz w:val="22"/>
          <w:szCs w:val="22"/>
        </w:rPr>
        <w:t xml:space="preserve"> </w:t>
      </w:r>
      <w:r w:rsidR="00DE557A" w:rsidRPr="00B00011">
        <w:rPr>
          <w:rFonts w:ascii="Arial" w:hAnsi="Arial" w:cs="Arial"/>
          <w:color w:val="000000"/>
          <w:sz w:val="22"/>
          <w:szCs w:val="22"/>
        </w:rPr>
        <w:t xml:space="preserve">is the </w:t>
      </w:r>
      <w:r w:rsidR="00A63599" w:rsidRPr="00B00011">
        <w:rPr>
          <w:rFonts w:ascii="Arial" w:hAnsi="Arial" w:cs="Arial"/>
          <w:color w:val="000000"/>
          <w:sz w:val="22"/>
          <w:szCs w:val="22"/>
        </w:rPr>
        <w:t xml:space="preserve">FIRST </w:t>
      </w:r>
      <w:r w:rsidR="00DE557A" w:rsidRPr="00B00011">
        <w:rPr>
          <w:rFonts w:ascii="Arial" w:hAnsi="Arial" w:cs="Arial"/>
          <w:color w:val="000000"/>
          <w:sz w:val="22"/>
          <w:szCs w:val="22"/>
        </w:rPr>
        <w:t xml:space="preserve">and </w:t>
      </w:r>
      <w:r w:rsidR="00A63599" w:rsidRPr="00B00011">
        <w:rPr>
          <w:rFonts w:ascii="Arial" w:hAnsi="Arial" w:cs="Arial"/>
          <w:color w:val="000000"/>
          <w:sz w:val="22"/>
          <w:szCs w:val="22"/>
        </w:rPr>
        <w:t xml:space="preserve">ONLY </w:t>
      </w:r>
      <w:r w:rsidR="00DE557A" w:rsidRPr="00B00011">
        <w:rPr>
          <w:rFonts w:ascii="Arial" w:hAnsi="Arial" w:cs="Arial"/>
          <w:color w:val="000000"/>
          <w:sz w:val="22"/>
          <w:szCs w:val="22"/>
        </w:rPr>
        <w:t>treatment approved</w:t>
      </w:r>
      <w:r w:rsidR="00413511" w:rsidRPr="00B00011">
        <w:rPr>
          <w:rFonts w:ascii="Arial" w:hAnsi="Arial" w:cs="Arial"/>
          <w:color w:val="000000"/>
          <w:sz w:val="22"/>
          <w:szCs w:val="22"/>
        </w:rPr>
        <w:t xml:space="preserve"> for</w:t>
      </w:r>
      <w:r w:rsidR="007E4C2A" w:rsidRPr="00B00011">
        <w:rPr>
          <w:rFonts w:ascii="Arial" w:hAnsi="Arial" w:cs="Arial"/>
          <w:color w:val="000000"/>
          <w:sz w:val="22"/>
          <w:szCs w:val="22"/>
        </w:rPr>
        <w:t xml:space="preserve"> both</w:t>
      </w:r>
      <w:r w:rsidR="00DE557A" w:rsidRPr="00B00011">
        <w:rPr>
          <w:rFonts w:ascii="Arial" w:hAnsi="Arial" w:cs="Arial"/>
          <w:color w:val="000000"/>
          <w:sz w:val="22"/>
          <w:szCs w:val="22"/>
        </w:rPr>
        <w:t xml:space="preserve"> </w:t>
      </w:r>
      <w:r w:rsidR="00413511" w:rsidRPr="00B00011">
        <w:rPr>
          <w:rFonts w:ascii="Arial" w:hAnsi="Arial" w:cs="Arial"/>
          <w:color w:val="000000"/>
          <w:sz w:val="22"/>
          <w:szCs w:val="22"/>
        </w:rPr>
        <w:t>adult and pediatric patients 2 years of age and older with neurofibromatosis type 1 (NF1) who have symptomatic plexiform neurofibromas (PN) not amenable to complete resection</w:t>
      </w:r>
      <w:r w:rsidR="00612EAE" w:rsidRPr="00B00011">
        <w:rPr>
          <w:rFonts w:ascii="Arial" w:hAnsi="Arial" w:cs="Arial"/>
          <w:color w:val="000000"/>
          <w:sz w:val="22"/>
          <w:szCs w:val="22"/>
        </w:rPr>
        <w:t>.</w:t>
      </w:r>
      <w:r w:rsidR="00612EAE" w:rsidRPr="00B00011">
        <w:rPr>
          <w:rFonts w:ascii="Arial" w:hAnsi="Arial" w:cs="Arial"/>
          <w:color w:val="000000"/>
          <w:sz w:val="22"/>
          <w:szCs w:val="22"/>
          <w:vertAlign w:val="superscript"/>
        </w:rPr>
        <w:t>1</w:t>
      </w:r>
    </w:p>
    <w:p w14:paraId="462CF20A" w14:textId="77777777" w:rsidR="00165A03" w:rsidRDefault="00165A03" w:rsidP="00165A03">
      <w:pPr>
        <w:rPr>
          <w:rFonts w:ascii="Arial" w:hAnsi="Arial" w:cs="Arial"/>
          <w:sz w:val="22"/>
          <w:szCs w:val="22"/>
        </w:rPr>
      </w:pPr>
    </w:p>
    <w:p w14:paraId="5D3E8657" w14:textId="0DD151B0" w:rsidR="00F73D9E" w:rsidRDefault="008653CE" w:rsidP="00165A03">
      <w:pPr>
        <w:rPr>
          <w:rFonts w:ascii="Arial" w:hAnsi="Arial" w:cs="Arial"/>
          <w:sz w:val="22"/>
          <w:szCs w:val="22"/>
        </w:rPr>
      </w:pPr>
      <w:r>
        <w:rPr>
          <w:rFonts w:ascii="Arial" w:hAnsi="Arial" w:cs="Arial"/>
          <w:sz w:val="22"/>
          <w:szCs w:val="22"/>
        </w:rPr>
        <w:t>GOMEKLI was</w:t>
      </w:r>
      <w:r w:rsidR="00F73D9E">
        <w:rPr>
          <w:rFonts w:ascii="Arial" w:hAnsi="Arial" w:cs="Arial"/>
          <w:sz w:val="22"/>
          <w:szCs w:val="22"/>
        </w:rPr>
        <w:t xml:space="preserve"> </w:t>
      </w:r>
      <w:r>
        <w:rPr>
          <w:rFonts w:ascii="Arial" w:hAnsi="Arial" w:cs="Arial"/>
          <w:sz w:val="22"/>
          <w:szCs w:val="22"/>
        </w:rPr>
        <w:t>approved by the FDA</w:t>
      </w:r>
      <w:r w:rsidR="00F73D9E">
        <w:rPr>
          <w:rFonts w:ascii="Arial" w:hAnsi="Arial" w:cs="Arial"/>
          <w:sz w:val="22"/>
          <w:szCs w:val="22"/>
        </w:rPr>
        <w:t xml:space="preserve"> </w:t>
      </w:r>
      <w:r>
        <w:rPr>
          <w:rFonts w:ascii="Arial" w:hAnsi="Arial" w:cs="Arial"/>
          <w:sz w:val="22"/>
          <w:szCs w:val="22"/>
        </w:rPr>
        <w:t>on</w:t>
      </w:r>
      <w:r w:rsidR="00F73D9E">
        <w:rPr>
          <w:rFonts w:ascii="Arial" w:hAnsi="Arial" w:cs="Arial"/>
          <w:sz w:val="22"/>
          <w:szCs w:val="22"/>
        </w:rPr>
        <w:t xml:space="preserve"> February </w:t>
      </w:r>
      <w:r w:rsidR="008F27AA">
        <w:rPr>
          <w:rFonts w:ascii="Arial" w:hAnsi="Arial" w:cs="Arial"/>
          <w:sz w:val="22"/>
          <w:szCs w:val="22"/>
        </w:rPr>
        <w:t>1</w:t>
      </w:r>
      <w:r w:rsidR="00490830">
        <w:rPr>
          <w:rFonts w:ascii="Arial" w:hAnsi="Arial" w:cs="Arial"/>
          <w:sz w:val="22"/>
          <w:szCs w:val="22"/>
        </w:rPr>
        <w:t>1</w:t>
      </w:r>
      <w:r w:rsidR="00F73D9E">
        <w:rPr>
          <w:rFonts w:ascii="Arial" w:hAnsi="Arial" w:cs="Arial"/>
          <w:sz w:val="22"/>
          <w:szCs w:val="22"/>
        </w:rPr>
        <w:t>, 2025.</w:t>
      </w:r>
      <w:r w:rsidR="005C1F9E" w:rsidRPr="00A5652F">
        <w:rPr>
          <w:rFonts w:ascii="Arial" w:hAnsi="Arial" w:cs="Arial"/>
          <w:sz w:val="22"/>
          <w:szCs w:val="22"/>
          <w:vertAlign w:val="superscript"/>
        </w:rPr>
        <w:t>2</w:t>
      </w:r>
      <w:r w:rsidR="00F73D9E">
        <w:rPr>
          <w:rFonts w:ascii="Arial" w:hAnsi="Arial" w:cs="Arial"/>
          <w:sz w:val="22"/>
          <w:szCs w:val="22"/>
        </w:rPr>
        <w:t xml:space="preserve"> </w:t>
      </w:r>
    </w:p>
    <w:p w14:paraId="4947BA85" w14:textId="77777777" w:rsidR="00F73D9E" w:rsidRDefault="00F73D9E" w:rsidP="00165A03">
      <w:pPr>
        <w:rPr>
          <w:rFonts w:ascii="Arial" w:hAnsi="Arial" w:cs="Arial"/>
          <w:sz w:val="22"/>
          <w:szCs w:val="22"/>
        </w:rPr>
      </w:pPr>
    </w:p>
    <w:p w14:paraId="6975D3BE" w14:textId="4A2E9A97" w:rsidR="00773340" w:rsidRPr="00DD121A" w:rsidRDefault="00773340" w:rsidP="00165A03">
      <w:pPr>
        <w:rPr>
          <w:rFonts w:ascii="Arial" w:hAnsi="Arial" w:cs="Arial"/>
          <w:sz w:val="22"/>
          <w:szCs w:val="22"/>
          <w:vertAlign w:val="superscript"/>
        </w:rPr>
      </w:pPr>
      <w:r w:rsidRPr="00773340">
        <w:rPr>
          <w:rFonts w:ascii="Arial" w:hAnsi="Arial" w:cs="Arial"/>
          <w:sz w:val="22"/>
          <w:szCs w:val="22"/>
        </w:rPr>
        <w:t>The NCCN Clinical Practice Guidelines in Oncology (NCCN Guidelines</w:t>
      </w:r>
      <w:r w:rsidRPr="00DD121A">
        <w:rPr>
          <w:rFonts w:ascii="Arial" w:hAnsi="Arial" w:cs="Arial"/>
          <w:sz w:val="22"/>
          <w:szCs w:val="22"/>
          <w:vertAlign w:val="superscript"/>
        </w:rPr>
        <w:t>®</w:t>
      </w:r>
      <w:r w:rsidRPr="00773340">
        <w:rPr>
          <w:rFonts w:ascii="Arial" w:hAnsi="Arial" w:cs="Arial"/>
          <w:sz w:val="22"/>
          <w:szCs w:val="22"/>
        </w:rPr>
        <w:t>) for Central Nervous System Cancers recommend mirdametinib (GOMEKLI) as a NCCN Category 2A systemic therapy option for the treatment of adult and pediatric patients ≥2 years of age with NF1 who have symptomatic plexiform neurofibromas not amenable to complete resection.</w:t>
      </w:r>
      <w:r>
        <w:rPr>
          <w:rFonts w:ascii="Arial" w:hAnsi="Arial" w:cs="Arial"/>
          <w:sz w:val="22"/>
          <w:szCs w:val="22"/>
          <w:vertAlign w:val="superscript"/>
        </w:rPr>
        <w:t>3</w:t>
      </w:r>
    </w:p>
    <w:p w14:paraId="1A0B9AFB" w14:textId="77777777" w:rsidR="00773340" w:rsidRDefault="00773340" w:rsidP="00165A03">
      <w:pPr>
        <w:rPr>
          <w:rFonts w:ascii="Arial" w:hAnsi="Arial" w:cs="Arial"/>
          <w:sz w:val="22"/>
          <w:szCs w:val="22"/>
        </w:rPr>
      </w:pPr>
    </w:p>
    <w:p w14:paraId="705F45E0" w14:textId="32159374" w:rsidR="00DE557A" w:rsidRDefault="00DE557A" w:rsidP="00165A03">
      <w:pPr>
        <w:rPr>
          <w:rFonts w:ascii="Arial" w:hAnsi="Arial" w:cs="Arial"/>
          <w:sz w:val="22"/>
          <w:szCs w:val="22"/>
        </w:rPr>
      </w:pPr>
      <w:r>
        <w:rPr>
          <w:rFonts w:ascii="Arial" w:hAnsi="Arial" w:cs="Arial"/>
          <w:sz w:val="22"/>
          <w:szCs w:val="22"/>
        </w:rPr>
        <w:t xml:space="preserve">The </w:t>
      </w:r>
      <w:r w:rsidRPr="00612EAE">
        <w:rPr>
          <w:rFonts w:ascii="Arial" w:hAnsi="Arial" w:cs="Arial"/>
          <w:i/>
          <w:iCs/>
          <w:sz w:val="22"/>
          <w:szCs w:val="22"/>
        </w:rPr>
        <w:t>Journal of Clinical Oncology</w:t>
      </w:r>
      <w:r>
        <w:rPr>
          <w:rFonts w:ascii="Arial" w:hAnsi="Arial" w:cs="Arial"/>
          <w:sz w:val="22"/>
          <w:szCs w:val="22"/>
        </w:rPr>
        <w:t xml:space="preserve"> published the pivotal </w:t>
      </w:r>
      <w:r w:rsidR="000B799B">
        <w:rPr>
          <w:rFonts w:ascii="Arial" w:hAnsi="Arial" w:cs="Arial"/>
          <w:sz w:val="22"/>
          <w:szCs w:val="22"/>
        </w:rPr>
        <w:t xml:space="preserve">Phase </w:t>
      </w:r>
      <w:r>
        <w:rPr>
          <w:rFonts w:ascii="Arial" w:hAnsi="Arial" w:cs="Arial"/>
          <w:sz w:val="22"/>
          <w:szCs w:val="22"/>
        </w:rPr>
        <w:t>2b trial results for ReNeu, which evaluated GOMEKLI</w:t>
      </w:r>
      <w:r w:rsidR="00BE0D59">
        <w:rPr>
          <w:rFonts w:ascii="Arial" w:hAnsi="Arial" w:cs="Arial"/>
          <w:sz w:val="22"/>
          <w:szCs w:val="22"/>
        </w:rPr>
        <w:t xml:space="preserve"> in adults and children with symptomatic NF1-PN</w:t>
      </w:r>
      <w:r>
        <w:rPr>
          <w:rFonts w:ascii="Arial" w:hAnsi="Arial" w:cs="Arial"/>
          <w:sz w:val="22"/>
          <w:szCs w:val="22"/>
        </w:rPr>
        <w:t xml:space="preserve">. Access to the journal can be found </w:t>
      </w:r>
      <w:hyperlink r:id="rId8" w:history="1">
        <w:r w:rsidRPr="00612EAE">
          <w:rPr>
            <w:rStyle w:val="Hyperlink"/>
            <w:rFonts w:ascii="Arial" w:hAnsi="Arial" w:cs="Arial"/>
            <w:b/>
            <w:bCs/>
            <w:sz w:val="22"/>
            <w:szCs w:val="22"/>
          </w:rPr>
          <w:t>HERE</w:t>
        </w:r>
      </w:hyperlink>
      <w:r>
        <w:rPr>
          <w:rFonts w:ascii="Arial" w:hAnsi="Arial" w:cs="Arial"/>
          <w:sz w:val="22"/>
          <w:szCs w:val="22"/>
        </w:rPr>
        <w:t>.</w:t>
      </w:r>
    </w:p>
    <w:p w14:paraId="144DECF3" w14:textId="77777777" w:rsidR="00F73D9E" w:rsidRPr="006E6575" w:rsidRDefault="00F73D9E" w:rsidP="00165A03">
      <w:pPr>
        <w:rPr>
          <w:rFonts w:ascii="Arial" w:hAnsi="Arial" w:cs="Arial"/>
          <w:sz w:val="22"/>
          <w:szCs w:val="22"/>
        </w:rPr>
      </w:pPr>
    </w:p>
    <w:p w14:paraId="454E49FE" w14:textId="77777777" w:rsidR="00165A03" w:rsidRPr="006E6575" w:rsidRDefault="00165A03" w:rsidP="00165A03">
      <w:pPr>
        <w:rPr>
          <w:rFonts w:ascii="Arial" w:hAnsi="Arial" w:cs="Arial"/>
          <w:b/>
          <w:bCs/>
          <w:sz w:val="22"/>
          <w:szCs w:val="22"/>
          <w:u w:val="single"/>
        </w:rPr>
      </w:pPr>
      <w:r w:rsidRPr="006E6575">
        <w:rPr>
          <w:rFonts w:ascii="Arial" w:hAnsi="Arial" w:cs="Arial"/>
          <w:b/>
          <w:bCs/>
          <w:sz w:val="22"/>
          <w:szCs w:val="22"/>
          <w:u w:val="single"/>
        </w:rPr>
        <w:t>Disease Overview</w:t>
      </w:r>
    </w:p>
    <w:p w14:paraId="67795F60" w14:textId="77777777" w:rsidR="00165A03" w:rsidRPr="006E6575" w:rsidRDefault="00165A03" w:rsidP="00165A03">
      <w:pPr>
        <w:rPr>
          <w:rFonts w:ascii="Arial" w:hAnsi="Arial" w:cs="Arial"/>
          <w:sz w:val="22"/>
          <w:szCs w:val="22"/>
        </w:rPr>
      </w:pPr>
    </w:p>
    <w:p w14:paraId="76A84495" w14:textId="58DAF1D8" w:rsidR="00165A03" w:rsidRPr="006E6575" w:rsidRDefault="00DE557A" w:rsidP="00165A03">
      <w:pPr>
        <w:rPr>
          <w:rFonts w:ascii="Arial" w:hAnsi="Arial" w:cs="Arial"/>
          <w:sz w:val="22"/>
          <w:szCs w:val="22"/>
        </w:rPr>
      </w:pPr>
      <w:r>
        <w:rPr>
          <w:rFonts w:ascii="Arial" w:hAnsi="Arial" w:cs="Arial"/>
          <w:sz w:val="22"/>
          <w:szCs w:val="22"/>
        </w:rPr>
        <w:t>N</w:t>
      </w:r>
      <w:r w:rsidRPr="006E6575">
        <w:rPr>
          <w:rFonts w:ascii="Arial" w:hAnsi="Arial" w:cs="Arial"/>
          <w:sz w:val="22"/>
          <w:szCs w:val="22"/>
        </w:rPr>
        <w:t>eurofibromatosis type 1 (NF1)</w:t>
      </w:r>
      <w:r w:rsidR="00612EAE">
        <w:rPr>
          <w:rFonts w:ascii="Arial" w:hAnsi="Arial" w:cs="Arial"/>
          <w:sz w:val="22"/>
          <w:szCs w:val="22"/>
        </w:rPr>
        <w:t xml:space="preserve"> </w:t>
      </w:r>
      <w:r w:rsidR="00165A03" w:rsidRPr="006E6575">
        <w:rPr>
          <w:rFonts w:ascii="Arial" w:hAnsi="Arial" w:cs="Arial"/>
          <w:sz w:val="22"/>
          <w:szCs w:val="22"/>
        </w:rPr>
        <w:t xml:space="preserve">is a </w:t>
      </w:r>
      <w:r w:rsidR="0093567F">
        <w:rPr>
          <w:rFonts w:ascii="Arial" w:hAnsi="Arial" w:cs="Arial"/>
          <w:sz w:val="22"/>
          <w:szCs w:val="22"/>
        </w:rPr>
        <w:t>rare, genetic</w:t>
      </w:r>
      <w:r w:rsidR="00165A03" w:rsidRPr="006E6575">
        <w:rPr>
          <w:rFonts w:ascii="Arial" w:hAnsi="Arial" w:cs="Arial"/>
          <w:sz w:val="22"/>
          <w:szCs w:val="22"/>
        </w:rPr>
        <w:t xml:space="preserve">, </w:t>
      </w:r>
      <w:r w:rsidR="0093567F">
        <w:rPr>
          <w:rFonts w:ascii="Arial" w:hAnsi="Arial" w:cs="Arial"/>
          <w:sz w:val="22"/>
          <w:szCs w:val="22"/>
        </w:rPr>
        <w:t xml:space="preserve">incurable, </w:t>
      </w:r>
      <w:r w:rsidR="00165A03" w:rsidRPr="006E6575">
        <w:rPr>
          <w:rFonts w:ascii="Arial" w:hAnsi="Arial" w:cs="Arial"/>
          <w:sz w:val="22"/>
          <w:szCs w:val="22"/>
        </w:rPr>
        <w:t xml:space="preserve">neuro-oncology disease that </w:t>
      </w:r>
      <w:r w:rsidR="0093567F">
        <w:rPr>
          <w:rFonts w:ascii="Arial" w:hAnsi="Arial" w:cs="Arial"/>
          <w:sz w:val="22"/>
          <w:szCs w:val="22"/>
        </w:rPr>
        <w:t>impacts both adult and pediatric patients.</w:t>
      </w:r>
      <w:r w:rsidR="00773340">
        <w:rPr>
          <w:rFonts w:ascii="Arial" w:hAnsi="Arial" w:cs="Arial"/>
          <w:sz w:val="22"/>
          <w:szCs w:val="22"/>
          <w:vertAlign w:val="superscript"/>
        </w:rPr>
        <w:t>4</w:t>
      </w:r>
      <w:r w:rsidR="0093567F" w:rsidRPr="00C8061D">
        <w:rPr>
          <w:rFonts w:ascii="Arial" w:hAnsi="Arial" w:cs="Arial"/>
          <w:sz w:val="22"/>
          <w:szCs w:val="22"/>
          <w:vertAlign w:val="superscript"/>
        </w:rPr>
        <w:t>-</w:t>
      </w:r>
      <w:r w:rsidR="00773340">
        <w:rPr>
          <w:rFonts w:ascii="Arial" w:hAnsi="Arial" w:cs="Arial"/>
          <w:sz w:val="22"/>
          <w:szCs w:val="22"/>
          <w:vertAlign w:val="superscript"/>
        </w:rPr>
        <w:t>8</w:t>
      </w:r>
      <w:r w:rsidR="0093567F">
        <w:rPr>
          <w:rFonts w:ascii="Arial" w:hAnsi="Arial" w:cs="Arial"/>
          <w:sz w:val="22"/>
          <w:szCs w:val="22"/>
        </w:rPr>
        <w:t xml:space="preserve"> NF1 </w:t>
      </w:r>
      <w:r w:rsidR="00165A03" w:rsidRPr="006E6575">
        <w:rPr>
          <w:rFonts w:ascii="Arial" w:hAnsi="Arial" w:cs="Arial"/>
          <w:sz w:val="22"/>
          <w:szCs w:val="22"/>
        </w:rPr>
        <w:t>affects multiple organ systems and has a birth incidence of ~1 in 2500.</w:t>
      </w:r>
      <w:r w:rsidR="00773340">
        <w:rPr>
          <w:rFonts w:ascii="Arial" w:hAnsi="Arial" w:cs="Arial"/>
          <w:sz w:val="22"/>
          <w:szCs w:val="22"/>
          <w:vertAlign w:val="superscript"/>
        </w:rPr>
        <w:t>4</w:t>
      </w:r>
      <w:r w:rsidR="0093567F">
        <w:rPr>
          <w:rFonts w:ascii="Arial" w:hAnsi="Arial" w:cs="Arial"/>
          <w:sz w:val="22"/>
          <w:szCs w:val="22"/>
          <w:vertAlign w:val="superscript"/>
        </w:rPr>
        <w:t>,</w:t>
      </w:r>
      <w:r w:rsidR="00773340">
        <w:rPr>
          <w:rFonts w:ascii="Arial" w:hAnsi="Arial" w:cs="Arial"/>
          <w:sz w:val="22"/>
          <w:szCs w:val="22"/>
          <w:vertAlign w:val="superscript"/>
        </w:rPr>
        <w:t>9</w:t>
      </w:r>
      <w:r w:rsidR="0093567F">
        <w:rPr>
          <w:rFonts w:ascii="Arial" w:hAnsi="Arial" w:cs="Arial"/>
          <w:sz w:val="22"/>
          <w:szCs w:val="22"/>
          <w:vertAlign w:val="superscript"/>
        </w:rPr>
        <w:t>-</w:t>
      </w:r>
      <w:r w:rsidR="005C1F9E">
        <w:rPr>
          <w:rFonts w:ascii="Arial" w:hAnsi="Arial" w:cs="Arial"/>
          <w:sz w:val="22"/>
          <w:szCs w:val="22"/>
          <w:vertAlign w:val="superscript"/>
        </w:rPr>
        <w:t>1</w:t>
      </w:r>
      <w:r w:rsidR="00773340">
        <w:rPr>
          <w:rFonts w:ascii="Arial" w:hAnsi="Arial" w:cs="Arial"/>
          <w:sz w:val="22"/>
          <w:szCs w:val="22"/>
          <w:vertAlign w:val="superscript"/>
        </w:rPr>
        <w:t>1</w:t>
      </w:r>
      <w:r w:rsidR="00165A03" w:rsidRPr="006E6575">
        <w:rPr>
          <w:rFonts w:ascii="Arial" w:hAnsi="Arial" w:cs="Arial"/>
          <w:sz w:val="22"/>
          <w:szCs w:val="22"/>
        </w:rPr>
        <w:t xml:space="preserve"> </w:t>
      </w:r>
      <w:r w:rsidR="004B542D">
        <w:rPr>
          <w:rFonts w:ascii="Arial" w:hAnsi="Arial" w:cs="Arial"/>
          <w:sz w:val="22"/>
          <w:szCs w:val="22"/>
        </w:rPr>
        <w:t>Plexiform neurofibromas</w:t>
      </w:r>
      <w:r w:rsidR="00165A03" w:rsidRPr="006E6575">
        <w:rPr>
          <w:rFonts w:ascii="Arial" w:hAnsi="Arial" w:cs="Arial"/>
          <w:sz w:val="22"/>
          <w:szCs w:val="22"/>
        </w:rPr>
        <w:t xml:space="preserve">, a common clinical manifestation of NF1, are highly invasive peripheral nerve sheath tumors </w:t>
      </w:r>
      <w:r w:rsidR="00F57A28">
        <w:rPr>
          <w:rFonts w:ascii="Arial" w:hAnsi="Arial" w:cs="Arial"/>
          <w:sz w:val="22"/>
          <w:szCs w:val="22"/>
        </w:rPr>
        <w:t>that may cause significant morbidities that are debilitating, and</w:t>
      </w:r>
      <w:r w:rsidR="00F57A28" w:rsidRPr="006E6575">
        <w:rPr>
          <w:rFonts w:ascii="Arial" w:hAnsi="Arial" w:cs="Arial"/>
          <w:sz w:val="22"/>
          <w:szCs w:val="22"/>
        </w:rPr>
        <w:t xml:space="preserve"> </w:t>
      </w:r>
      <w:r w:rsidR="0093567F">
        <w:rPr>
          <w:rFonts w:ascii="Arial" w:hAnsi="Arial" w:cs="Arial"/>
          <w:sz w:val="22"/>
          <w:szCs w:val="22"/>
        </w:rPr>
        <w:t>are found</w:t>
      </w:r>
      <w:r w:rsidR="0093567F" w:rsidRPr="006E6575">
        <w:rPr>
          <w:rFonts w:ascii="Arial" w:hAnsi="Arial" w:cs="Arial"/>
          <w:sz w:val="22"/>
          <w:szCs w:val="22"/>
        </w:rPr>
        <w:t xml:space="preserve"> </w:t>
      </w:r>
      <w:r w:rsidR="00165A03" w:rsidRPr="006E6575">
        <w:rPr>
          <w:rFonts w:ascii="Arial" w:hAnsi="Arial" w:cs="Arial"/>
          <w:sz w:val="22"/>
          <w:szCs w:val="22"/>
        </w:rPr>
        <w:t>in approximately 30%-50% of patients with NF1.</w:t>
      </w:r>
      <w:r w:rsidR="00773340">
        <w:rPr>
          <w:rFonts w:ascii="Arial" w:hAnsi="Arial" w:cs="Arial"/>
          <w:sz w:val="22"/>
          <w:szCs w:val="22"/>
          <w:vertAlign w:val="superscript"/>
        </w:rPr>
        <w:t>4</w:t>
      </w:r>
      <w:r w:rsidR="0093567F" w:rsidRPr="00C8061D">
        <w:rPr>
          <w:rFonts w:ascii="Arial" w:hAnsi="Arial" w:cs="Arial"/>
          <w:sz w:val="22"/>
          <w:szCs w:val="22"/>
          <w:vertAlign w:val="superscript"/>
        </w:rPr>
        <w:t>,</w:t>
      </w:r>
      <w:r w:rsidR="00773340">
        <w:rPr>
          <w:rFonts w:ascii="Arial" w:hAnsi="Arial" w:cs="Arial"/>
          <w:sz w:val="22"/>
          <w:szCs w:val="22"/>
          <w:vertAlign w:val="superscript"/>
        </w:rPr>
        <w:t>5</w:t>
      </w:r>
      <w:r w:rsidR="0093567F" w:rsidRPr="00C8061D">
        <w:rPr>
          <w:rFonts w:ascii="Arial" w:hAnsi="Arial" w:cs="Arial"/>
          <w:sz w:val="22"/>
          <w:szCs w:val="22"/>
          <w:vertAlign w:val="superscript"/>
        </w:rPr>
        <w:t>,</w:t>
      </w:r>
      <w:r w:rsidR="00773340">
        <w:rPr>
          <w:rFonts w:ascii="Arial" w:hAnsi="Arial" w:cs="Arial"/>
          <w:sz w:val="22"/>
          <w:szCs w:val="22"/>
          <w:vertAlign w:val="superscript"/>
        </w:rPr>
        <w:t>9</w:t>
      </w:r>
      <w:r w:rsidR="00165A03" w:rsidRPr="006E6575">
        <w:rPr>
          <w:rFonts w:ascii="Arial" w:hAnsi="Arial" w:cs="Arial"/>
          <w:sz w:val="22"/>
          <w:szCs w:val="22"/>
        </w:rPr>
        <w:t xml:space="preserve"> Patients with NF1-PN </w:t>
      </w:r>
      <w:r w:rsidR="00F73D9E">
        <w:rPr>
          <w:rFonts w:ascii="Arial" w:hAnsi="Arial" w:cs="Arial"/>
          <w:sz w:val="22"/>
          <w:szCs w:val="22"/>
        </w:rPr>
        <w:t xml:space="preserve">may </w:t>
      </w:r>
      <w:r w:rsidR="00165A03" w:rsidRPr="006E6575">
        <w:rPr>
          <w:rFonts w:ascii="Arial" w:hAnsi="Arial" w:cs="Arial"/>
          <w:sz w:val="22"/>
          <w:szCs w:val="22"/>
        </w:rPr>
        <w:t xml:space="preserve">experience debilitating morbidity including severe pain, disfigurement, impaired physical function, </w:t>
      </w:r>
      <w:r w:rsidR="00413511">
        <w:rPr>
          <w:rFonts w:ascii="Arial" w:hAnsi="Arial" w:cs="Arial"/>
          <w:sz w:val="22"/>
          <w:szCs w:val="22"/>
        </w:rPr>
        <w:t xml:space="preserve">and </w:t>
      </w:r>
      <w:r w:rsidR="00F73D9E">
        <w:rPr>
          <w:rFonts w:ascii="Arial" w:hAnsi="Arial" w:cs="Arial"/>
          <w:sz w:val="22"/>
          <w:szCs w:val="22"/>
        </w:rPr>
        <w:t>internal organ</w:t>
      </w:r>
      <w:r w:rsidR="00165A03" w:rsidRPr="006E6575">
        <w:rPr>
          <w:rFonts w:ascii="Arial" w:hAnsi="Arial" w:cs="Arial"/>
          <w:sz w:val="22"/>
          <w:szCs w:val="22"/>
        </w:rPr>
        <w:t xml:space="preserve"> compression.</w:t>
      </w:r>
      <w:r w:rsidR="00773340">
        <w:rPr>
          <w:rFonts w:ascii="Arial" w:hAnsi="Arial" w:cs="Arial"/>
          <w:sz w:val="22"/>
          <w:szCs w:val="22"/>
          <w:vertAlign w:val="superscript"/>
        </w:rPr>
        <w:t>6</w:t>
      </w:r>
      <w:r w:rsidR="00E90004">
        <w:rPr>
          <w:rFonts w:ascii="Arial" w:hAnsi="Arial" w:cs="Arial"/>
          <w:sz w:val="22"/>
          <w:szCs w:val="22"/>
          <w:vertAlign w:val="superscript"/>
        </w:rPr>
        <w:t>,</w:t>
      </w:r>
      <w:r w:rsidR="0093567F">
        <w:rPr>
          <w:rFonts w:ascii="Arial" w:hAnsi="Arial" w:cs="Arial"/>
          <w:sz w:val="22"/>
          <w:szCs w:val="22"/>
          <w:vertAlign w:val="superscript"/>
        </w:rPr>
        <w:t>1</w:t>
      </w:r>
      <w:r w:rsidR="00773340">
        <w:rPr>
          <w:rFonts w:ascii="Arial" w:hAnsi="Arial" w:cs="Arial"/>
          <w:sz w:val="22"/>
          <w:szCs w:val="22"/>
          <w:vertAlign w:val="superscript"/>
        </w:rPr>
        <w:t>2</w:t>
      </w:r>
      <w:r w:rsidR="00E90004" w:rsidRPr="00811636">
        <w:rPr>
          <w:rFonts w:ascii="Arial" w:hAnsi="Arial" w:cs="Arial"/>
          <w:sz w:val="22"/>
          <w:szCs w:val="22"/>
        </w:rPr>
        <w:t xml:space="preserve"> </w:t>
      </w:r>
      <w:r w:rsidR="00165A03" w:rsidRPr="006E6575">
        <w:rPr>
          <w:rFonts w:ascii="Arial" w:hAnsi="Arial" w:cs="Arial"/>
          <w:sz w:val="22"/>
          <w:szCs w:val="22"/>
        </w:rPr>
        <w:t>Malignant peripheral nerve sheath tumors (MPNSTs) arise from PN</w:t>
      </w:r>
      <w:r w:rsidR="00322B60">
        <w:rPr>
          <w:rFonts w:ascii="Arial" w:hAnsi="Arial" w:cs="Arial"/>
          <w:sz w:val="22"/>
          <w:szCs w:val="22"/>
        </w:rPr>
        <w:t>,</w:t>
      </w:r>
      <w:r w:rsidR="00413511">
        <w:rPr>
          <w:rFonts w:ascii="Arial" w:hAnsi="Arial" w:cs="Arial"/>
          <w:sz w:val="22"/>
          <w:szCs w:val="22"/>
        </w:rPr>
        <w:t xml:space="preserve"> can</w:t>
      </w:r>
      <w:r w:rsidR="00165A03" w:rsidRPr="006E6575">
        <w:rPr>
          <w:rFonts w:ascii="Arial" w:hAnsi="Arial" w:cs="Arial"/>
          <w:sz w:val="22"/>
          <w:szCs w:val="22"/>
        </w:rPr>
        <w:t xml:space="preserve"> occur in up to 16% of adult patients with NF1</w:t>
      </w:r>
      <w:r w:rsidR="00E24243">
        <w:rPr>
          <w:rFonts w:ascii="Arial" w:hAnsi="Arial" w:cs="Arial"/>
          <w:sz w:val="22"/>
          <w:szCs w:val="22"/>
        </w:rPr>
        <w:t>,</w:t>
      </w:r>
      <w:r w:rsidR="00165A03" w:rsidRPr="006E6575">
        <w:rPr>
          <w:rFonts w:ascii="Arial" w:hAnsi="Arial" w:cs="Arial"/>
          <w:sz w:val="22"/>
          <w:szCs w:val="22"/>
        </w:rPr>
        <w:t xml:space="preserve"> and are associated with a 5-year overall survival rate of up to 50%.</w:t>
      </w:r>
      <w:r w:rsidR="0093567F">
        <w:rPr>
          <w:rFonts w:ascii="Arial" w:hAnsi="Arial" w:cs="Arial"/>
          <w:sz w:val="22"/>
          <w:szCs w:val="22"/>
          <w:vertAlign w:val="superscript"/>
        </w:rPr>
        <w:t>1</w:t>
      </w:r>
      <w:r w:rsidR="00773340">
        <w:rPr>
          <w:rFonts w:ascii="Arial" w:hAnsi="Arial" w:cs="Arial"/>
          <w:sz w:val="22"/>
          <w:szCs w:val="22"/>
          <w:vertAlign w:val="superscript"/>
        </w:rPr>
        <w:t>3</w:t>
      </w:r>
      <w:r w:rsidR="0093567F">
        <w:rPr>
          <w:rFonts w:ascii="Arial" w:hAnsi="Arial" w:cs="Arial"/>
          <w:sz w:val="22"/>
          <w:szCs w:val="22"/>
          <w:vertAlign w:val="superscript"/>
        </w:rPr>
        <w:t>,1</w:t>
      </w:r>
      <w:r w:rsidR="00773340">
        <w:rPr>
          <w:rFonts w:ascii="Arial" w:hAnsi="Arial" w:cs="Arial"/>
          <w:sz w:val="22"/>
          <w:szCs w:val="22"/>
          <w:vertAlign w:val="superscript"/>
        </w:rPr>
        <w:t>4</w:t>
      </w:r>
      <w:r w:rsidR="00165A03" w:rsidRPr="006E6575">
        <w:rPr>
          <w:rFonts w:ascii="Arial" w:hAnsi="Arial" w:cs="Arial"/>
          <w:sz w:val="22"/>
          <w:szCs w:val="22"/>
        </w:rPr>
        <w:t xml:space="preserve"> </w:t>
      </w:r>
    </w:p>
    <w:p w14:paraId="305C04E3" w14:textId="77777777" w:rsidR="00165A03" w:rsidRPr="006E6575" w:rsidRDefault="00165A03" w:rsidP="00165A03">
      <w:pPr>
        <w:rPr>
          <w:rFonts w:ascii="Arial" w:hAnsi="Arial" w:cs="Arial"/>
          <w:sz w:val="22"/>
          <w:szCs w:val="22"/>
        </w:rPr>
      </w:pPr>
    </w:p>
    <w:p w14:paraId="55343C93" w14:textId="6B536569" w:rsidR="00165A03" w:rsidRPr="006E6575" w:rsidRDefault="00165A03" w:rsidP="00165A03">
      <w:pPr>
        <w:rPr>
          <w:rFonts w:ascii="Arial" w:hAnsi="Arial" w:cs="Arial"/>
          <w:b/>
          <w:bCs/>
          <w:sz w:val="22"/>
          <w:szCs w:val="22"/>
        </w:rPr>
      </w:pPr>
      <w:r w:rsidRPr="006E6575">
        <w:rPr>
          <w:rFonts w:ascii="Arial" w:hAnsi="Arial" w:cs="Arial"/>
          <w:b/>
          <w:bCs/>
          <w:sz w:val="22"/>
          <w:szCs w:val="22"/>
          <w:u w:val="single"/>
        </w:rPr>
        <w:t>Approval Criteria</w:t>
      </w:r>
    </w:p>
    <w:p w14:paraId="5004B183" w14:textId="77777777" w:rsidR="00165A03" w:rsidRPr="006E6575" w:rsidRDefault="00165A03" w:rsidP="00165A03">
      <w:pPr>
        <w:rPr>
          <w:rFonts w:ascii="Arial" w:hAnsi="Arial" w:cs="Arial"/>
          <w:sz w:val="22"/>
          <w:szCs w:val="22"/>
        </w:rPr>
      </w:pPr>
    </w:p>
    <w:p w14:paraId="5F1ACDD2" w14:textId="77777777" w:rsidR="00165A03" w:rsidRPr="006E6575" w:rsidRDefault="00165A03" w:rsidP="00165A03">
      <w:pPr>
        <w:rPr>
          <w:rFonts w:ascii="Arial" w:hAnsi="Arial" w:cs="Arial"/>
          <w:b/>
          <w:bCs/>
          <w:sz w:val="22"/>
          <w:szCs w:val="22"/>
        </w:rPr>
      </w:pPr>
      <w:r w:rsidRPr="006E6575">
        <w:rPr>
          <w:rFonts w:ascii="Arial" w:hAnsi="Arial" w:cs="Arial"/>
          <w:b/>
          <w:bCs/>
          <w:sz w:val="22"/>
          <w:szCs w:val="22"/>
        </w:rPr>
        <w:t>Initial Authorization</w:t>
      </w:r>
    </w:p>
    <w:p w14:paraId="55E84068" w14:textId="06DE621B" w:rsidR="00322B60" w:rsidRDefault="00322B60" w:rsidP="00165A03">
      <w:pPr>
        <w:pStyle w:val="ListParagraph"/>
        <w:numPr>
          <w:ilvl w:val="0"/>
          <w:numId w:val="1"/>
        </w:numPr>
        <w:rPr>
          <w:rFonts w:ascii="Arial" w:hAnsi="Arial" w:cs="Arial"/>
          <w:sz w:val="22"/>
          <w:szCs w:val="22"/>
        </w:rPr>
      </w:pPr>
      <w:r>
        <w:rPr>
          <w:rFonts w:ascii="Arial" w:hAnsi="Arial" w:cs="Arial"/>
          <w:sz w:val="22"/>
          <w:szCs w:val="22"/>
        </w:rPr>
        <w:t>Prescribed by or in consultation with an oncologist</w:t>
      </w:r>
      <w:r w:rsidR="00121BF1">
        <w:rPr>
          <w:rFonts w:ascii="Arial" w:hAnsi="Arial" w:cs="Arial"/>
          <w:sz w:val="22"/>
          <w:szCs w:val="22"/>
        </w:rPr>
        <w:t xml:space="preserve">, </w:t>
      </w:r>
      <w:r>
        <w:rPr>
          <w:rFonts w:ascii="Arial" w:hAnsi="Arial" w:cs="Arial"/>
          <w:sz w:val="22"/>
          <w:szCs w:val="22"/>
        </w:rPr>
        <w:t>neurologist</w:t>
      </w:r>
      <w:r w:rsidR="00F73D9E">
        <w:rPr>
          <w:rFonts w:ascii="Arial" w:hAnsi="Arial" w:cs="Arial"/>
          <w:sz w:val="22"/>
          <w:szCs w:val="22"/>
        </w:rPr>
        <w:t>, or other specialists</w:t>
      </w:r>
    </w:p>
    <w:p w14:paraId="2256EC53" w14:textId="25947467" w:rsidR="00165A03" w:rsidRPr="006E6575" w:rsidRDefault="00165A03" w:rsidP="00165A03">
      <w:pPr>
        <w:pStyle w:val="ListParagraph"/>
        <w:numPr>
          <w:ilvl w:val="0"/>
          <w:numId w:val="1"/>
        </w:numPr>
        <w:rPr>
          <w:rFonts w:ascii="Arial" w:hAnsi="Arial" w:cs="Arial"/>
          <w:sz w:val="22"/>
          <w:szCs w:val="22"/>
        </w:rPr>
      </w:pPr>
      <w:r w:rsidRPr="006E6575">
        <w:rPr>
          <w:rFonts w:ascii="Arial" w:hAnsi="Arial" w:cs="Arial"/>
          <w:sz w:val="22"/>
          <w:szCs w:val="22"/>
        </w:rPr>
        <w:t>The patient is 2 years of age or older; AND</w:t>
      </w:r>
    </w:p>
    <w:p w14:paraId="7BB4E95E" w14:textId="5D161341" w:rsidR="00165A03" w:rsidRPr="006E6575" w:rsidRDefault="00165A03" w:rsidP="00165A03">
      <w:pPr>
        <w:pStyle w:val="ListParagraph"/>
        <w:numPr>
          <w:ilvl w:val="0"/>
          <w:numId w:val="1"/>
        </w:numPr>
        <w:rPr>
          <w:rFonts w:ascii="Arial" w:hAnsi="Arial" w:cs="Arial"/>
          <w:sz w:val="22"/>
          <w:szCs w:val="22"/>
        </w:rPr>
      </w:pPr>
      <w:r w:rsidRPr="006E6575">
        <w:rPr>
          <w:rFonts w:ascii="Arial" w:hAnsi="Arial" w:cs="Arial"/>
          <w:sz w:val="22"/>
          <w:szCs w:val="22"/>
        </w:rPr>
        <w:t>The patient has</w:t>
      </w:r>
      <w:r w:rsidR="00BE0D59">
        <w:rPr>
          <w:rFonts w:ascii="Arial" w:hAnsi="Arial" w:cs="Arial"/>
          <w:sz w:val="22"/>
          <w:szCs w:val="22"/>
        </w:rPr>
        <w:t xml:space="preserve"> BOTH OF</w:t>
      </w:r>
      <w:r w:rsidRPr="006E6575">
        <w:rPr>
          <w:rFonts w:ascii="Arial" w:hAnsi="Arial" w:cs="Arial"/>
          <w:sz w:val="22"/>
          <w:szCs w:val="22"/>
        </w:rPr>
        <w:t xml:space="preserve"> the following: </w:t>
      </w:r>
    </w:p>
    <w:p w14:paraId="6669A459" w14:textId="33E86683" w:rsidR="00165A03" w:rsidRPr="006E6575" w:rsidRDefault="00165A03" w:rsidP="00165A03">
      <w:pPr>
        <w:pStyle w:val="ListParagraph"/>
        <w:numPr>
          <w:ilvl w:val="1"/>
          <w:numId w:val="1"/>
        </w:numPr>
        <w:rPr>
          <w:rFonts w:ascii="Arial" w:hAnsi="Arial" w:cs="Arial"/>
          <w:sz w:val="22"/>
          <w:szCs w:val="22"/>
        </w:rPr>
      </w:pPr>
      <w:r w:rsidRPr="006E6575">
        <w:rPr>
          <w:rFonts w:ascii="Arial" w:hAnsi="Arial" w:cs="Arial"/>
          <w:sz w:val="22"/>
          <w:szCs w:val="22"/>
        </w:rPr>
        <w:t>Diagnosis of neurofibromatosis type 1 (NF1)</w:t>
      </w:r>
    </w:p>
    <w:p w14:paraId="7DD2C511" w14:textId="0AE3F35A" w:rsidR="00165A03" w:rsidRPr="006E6575" w:rsidRDefault="00797B26" w:rsidP="00165A03">
      <w:pPr>
        <w:pStyle w:val="ListParagraph"/>
        <w:numPr>
          <w:ilvl w:val="1"/>
          <w:numId w:val="1"/>
        </w:numPr>
        <w:rPr>
          <w:rFonts w:ascii="Arial" w:hAnsi="Arial" w:cs="Arial"/>
          <w:sz w:val="22"/>
          <w:szCs w:val="22"/>
        </w:rPr>
      </w:pPr>
      <w:r>
        <w:rPr>
          <w:rFonts w:ascii="Arial" w:hAnsi="Arial" w:cs="Arial"/>
          <w:color w:val="11322C" w:themeColor="background1"/>
          <w:sz w:val="22"/>
          <w:szCs w:val="22"/>
        </w:rPr>
        <w:t>S</w:t>
      </w:r>
      <w:r w:rsidR="00866EEA" w:rsidRPr="006E6575">
        <w:rPr>
          <w:rFonts w:ascii="Arial" w:hAnsi="Arial" w:cs="Arial"/>
          <w:sz w:val="22"/>
          <w:szCs w:val="22"/>
        </w:rPr>
        <w:t xml:space="preserve">ymptomatic </w:t>
      </w:r>
      <w:r w:rsidR="00165A03" w:rsidRPr="006E6575">
        <w:rPr>
          <w:rFonts w:ascii="Arial" w:hAnsi="Arial" w:cs="Arial"/>
          <w:sz w:val="22"/>
          <w:szCs w:val="22"/>
        </w:rPr>
        <w:t>plexiform neurofibroma</w:t>
      </w:r>
      <w:r w:rsidR="005F53AD">
        <w:rPr>
          <w:rFonts w:ascii="Arial" w:hAnsi="Arial" w:cs="Arial"/>
          <w:sz w:val="22"/>
          <w:szCs w:val="22"/>
        </w:rPr>
        <w:t>s</w:t>
      </w:r>
      <w:r w:rsidR="00165A03" w:rsidRPr="006E6575">
        <w:rPr>
          <w:rFonts w:ascii="Arial" w:hAnsi="Arial" w:cs="Arial"/>
          <w:sz w:val="22"/>
          <w:szCs w:val="22"/>
        </w:rPr>
        <w:t xml:space="preserve"> (PN)</w:t>
      </w:r>
      <w:r w:rsidR="00BE0D59">
        <w:rPr>
          <w:rFonts w:ascii="Arial" w:hAnsi="Arial" w:cs="Arial"/>
          <w:sz w:val="22"/>
          <w:szCs w:val="22"/>
        </w:rPr>
        <w:t xml:space="preserve"> not amenable to complete resection</w:t>
      </w:r>
    </w:p>
    <w:p w14:paraId="19DF1C1B" w14:textId="77777777" w:rsidR="00165A03" w:rsidRPr="006E6575" w:rsidRDefault="00165A03" w:rsidP="00165A03">
      <w:pPr>
        <w:rPr>
          <w:rFonts w:ascii="Arial" w:hAnsi="Arial" w:cs="Arial"/>
          <w:sz w:val="22"/>
          <w:szCs w:val="22"/>
        </w:rPr>
      </w:pPr>
    </w:p>
    <w:p w14:paraId="1F46061C" w14:textId="77777777" w:rsidR="00165A03" w:rsidRPr="006E6575" w:rsidRDefault="00165A03" w:rsidP="00165A03">
      <w:pPr>
        <w:rPr>
          <w:rFonts w:ascii="Arial" w:hAnsi="Arial" w:cs="Arial"/>
          <w:sz w:val="22"/>
          <w:szCs w:val="22"/>
        </w:rPr>
      </w:pPr>
      <w:r w:rsidRPr="006E6575">
        <w:rPr>
          <w:rFonts w:ascii="Arial" w:hAnsi="Arial" w:cs="Arial"/>
          <w:sz w:val="22"/>
          <w:szCs w:val="22"/>
        </w:rPr>
        <w:t xml:space="preserve">Duration of initial authorization approval: 12 months. </w:t>
      </w:r>
    </w:p>
    <w:p w14:paraId="5C6532E4" w14:textId="77777777" w:rsidR="00165A03" w:rsidRPr="006E6575" w:rsidRDefault="00165A03" w:rsidP="00165A03">
      <w:pPr>
        <w:rPr>
          <w:rFonts w:ascii="Arial" w:hAnsi="Arial" w:cs="Arial"/>
          <w:sz w:val="22"/>
          <w:szCs w:val="22"/>
        </w:rPr>
      </w:pPr>
    </w:p>
    <w:p w14:paraId="315E430D" w14:textId="79664ABA" w:rsidR="00165A03" w:rsidRPr="006E6575" w:rsidRDefault="00165A03" w:rsidP="00165A03">
      <w:pPr>
        <w:rPr>
          <w:rFonts w:ascii="Arial" w:hAnsi="Arial" w:cs="Arial"/>
          <w:b/>
          <w:bCs/>
          <w:sz w:val="22"/>
          <w:szCs w:val="22"/>
        </w:rPr>
      </w:pPr>
      <w:r w:rsidRPr="006E6575">
        <w:rPr>
          <w:rFonts w:ascii="Arial" w:hAnsi="Arial" w:cs="Arial"/>
          <w:b/>
          <w:bCs/>
          <w:sz w:val="22"/>
          <w:szCs w:val="22"/>
        </w:rPr>
        <w:t>Reauthorization Criteria</w:t>
      </w:r>
    </w:p>
    <w:p w14:paraId="083F049F" w14:textId="5DB90A2C" w:rsidR="00165A03" w:rsidRPr="006E6575" w:rsidRDefault="00165A03" w:rsidP="00165A03">
      <w:pPr>
        <w:pStyle w:val="ListParagraph"/>
        <w:numPr>
          <w:ilvl w:val="0"/>
          <w:numId w:val="1"/>
        </w:numPr>
        <w:rPr>
          <w:rFonts w:ascii="Arial" w:hAnsi="Arial" w:cs="Arial"/>
          <w:sz w:val="22"/>
          <w:szCs w:val="22"/>
        </w:rPr>
      </w:pPr>
      <w:r w:rsidRPr="006E6575">
        <w:rPr>
          <w:rFonts w:ascii="Arial" w:hAnsi="Arial" w:cs="Arial"/>
          <w:sz w:val="22"/>
          <w:szCs w:val="22"/>
        </w:rPr>
        <w:t xml:space="preserve">Prescriber attests </w:t>
      </w:r>
      <w:r w:rsidR="004B542D">
        <w:rPr>
          <w:rFonts w:ascii="Arial" w:hAnsi="Arial" w:cs="Arial"/>
          <w:sz w:val="22"/>
          <w:szCs w:val="22"/>
        </w:rPr>
        <w:t xml:space="preserve">that </w:t>
      </w:r>
      <w:r w:rsidRPr="006E6575">
        <w:rPr>
          <w:rFonts w:ascii="Arial" w:hAnsi="Arial" w:cs="Arial"/>
          <w:sz w:val="22"/>
          <w:szCs w:val="22"/>
        </w:rPr>
        <w:t xml:space="preserve">the patient </w:t>
      </w:r>
      <w:r w:rsidR="00322B60">
        <w:rPr>
          <w:rFonts w:ascii="Arial" w:hAnsi="Arial" w:cs="Arial"/>
          <w:sz w:val="22"/>
          <w:szCs w:val="22"/>
        </w:rPr>
        <w:t>does not show evidence of progressive disease while on therapy</w:t>
      </w:r>
      <w:r w:rsidR="00F73D9E">
        <w:rPr>
          <w:rFonts w:ascii="Arial" w:hAnsi="Arial" w:cs="Arial"/>
          <w:sz w:val="22"/>
          <w:szCs w:val="22"/>
        </w:rPr>
        <w:t xml:space="preserve"> and does not </w:t>
      </w:r>
      <w:r w:rsidR="004B542D">
        <w:rPr>
          <w:rFonts w:ascii="Arial" w:hAnsi="Arial" w:cs="Arial"/>
          <w:sz w:val="22"/>
          <w:szCs w:val="22"/>
        </w:rPr>
        <w:t>experience</w:t>
      </w:r>
      <w:r w:rsidR="00F73D9E">
        <w:rPr>
          <w:rFonts w:ascii="Arial" w:hAnsi="Arial" w:cs="Arial"/>
          <w:sz w:val="22"/>
          <w:szCs w:val="22"/>
        </w:rPr>
        <w:t xml:space="preserve"> unacceptable toxicity</w:t>
      </w:r>
    </w:p>
    <w:p w14:paraId="5D7FF417" w14:textId="77777777" w:rsidR="00165A03" w:rsidRPr="006E6575" w:rsidRDefault="00165A03" w:rsidP="00165A03">
      <w:pPr>
        <w:rPr>
          <w:rFonts w:ascii="Arial" w:hAnsi="Arial" w:cs="Arial"/>
          <w:sz w:val="22"/>
          <w:szCs w:val="22"/>
        </w:rPr>
      </w:pPr>
    </w:p>
    <w:p w14:paraId="10C409AC" w14:textId="77777777" w:rsidR="00165A03" w:rsidRPr="006E6575" w:rsidRDefault="00165A03" w:rsidP="00165A03">
      <w:pPr>
        <w:rPr>
          <w:rFonts w:ascii="Arial" w:hAnsi="Arial" w:cs="Arial"/>
          <w:sz w:val="22"/>
          <w:szCs w:val="22"/>
        </w:rPr>
      </w:pPr>
      <w:r w:rsidRPr="006E6575">
        <w:rPr>
          <w:rFonts w:ascii="Arial" w:hAnsi="Arial" w:cs="Arial"/>
          <w:sz w:val="22"/>
          <w:szCs w:val="22"/>
        </w:rPr>
        <w:t>Reauthorization will be provided for 12 months.</w:t>
      </w:r>
    </w:p>
    <w:p w14:paraId="4BB3D3DD" w14:textId="77777777" w:rsidR="00165A03" w:rsidRPr="006E6575" w:rsidRDefault="00165A03" w:rsidP="00165A03">
      <w:pPr>
        <w:rPr>
          <w:rFonts w:ascii="Arial" w:hAnsi="Arial" w:cs="Arial"/>
          <w:sz w:val="22"/>
          <w:szCs w:val="22"/>
        </w:rPr>
      </w:pPr>
    </w:p>
    <w:p w14:paraId="4CD3B0F5" w14:textId="7642E2CA" w:rsidR="00165A03" w:rsidRPr="007957DC" w:rsidRDefault="00165A03" w:rsidP="00165A03">
      <w:pPr>
        <w:rPr>
          <w:rFonts w:ascii="Arial" w:hAnsi="Arial" w:cs="Arial"/>
          <w:b/>
          <w:bCs/>
          <w:sz w:val="22"/>
          <w:szCs w:val="22"/>
          <w:u w:val="single"/>
        </w:rPr>
      </w:pPr>
      <w:r w:rsidRPr="007957DC">
        <w:rPr>
          <w:rFonts w:ascii="Arial" w:hAnsi="Arial" w:cs="Arial"/>
          <w:b/>
          <w:bCs/>
          <w:sz w:val="22"/>
          <w:szCs w:val="22"/>
          <w:u w:val="single"/>
        </w:rPr>
        <w:t>Drug Class</w:t>
      </w:r>
    </w:p>
    <w:p w14:paraId="70388184" w14:textId="644DBCD3" w:rsidR="00165A03" w:rsidRPr="006E6575" w:rsidRDefault="00165A03" w:rsidP="00165A03">
      <w:pPr>
        <w:rPr>
          <w:rFonts w:ascii="Arial" w:hAnsi="Arial" w:cs="Arial"/>
          <w:sz w:val="22"/>
          <w:szCs w:val="22"/>
        </w:rPr>
      </w:pPr>
      <w:r w:rsidRPr="006E6575">
        <w:rPr>
          <w:rFonts w:ascii="Arial" w:hAnsi="Arial" w:cs="Arial"/>
          <w:sz w:val="22"/>
          <w:szCs w:val="22"/>
        </w:rPr>
        <w:t>Antineoplastic</w:t>
      </w:r>
      <w:r w:rsidR="009B226D">
        <w:rPr>
          <w:rFonts w:ascii="Arial" w:hAnsi="Arial" w:cs="Arial"/>
          <w:sz w:val="22"/>
          <w:szCs w:val="22"/>
        </w:rPr>
        <w:t>:</w:t>
      </w:r>
      <w:r w:rsidRPr="006E6575">
        <w:rPr>
          <w:rFonts w:ascii="Arial" w:hAnsi="Arial" w:cs="Arial"/>
          <w:sz w:val="22"/>
          <w:szCs w:val="22"/>
        </w:rPr>
        <w:t xml:space="preserve"> </w:t>
      </w:r>
      <w:r w:rsidR="00F73D9E">
        <w:rPr>
          <w:rFonts w:ascii="Arial" w:hAnsi="Arial" w:cs="Arial"/>
          <w:sz w:val="22"/>
          <w:szCs w:val="22"/>
        </w:rPr>
        <w:t>Mitogen-Activated Protein Kinase (MEK) Inhibitor</w:t>
      </w:r>
    </w:p>
    <w:p w14:paraId="42CD8EFA" w14:textId="77777777" w:rsidR="00165A03" w:rsidRPr="006E6575" w:rsidRDefault="00165A03" w:rsidP="00165A03">
      <w:pPr>
        <w:rPr>
          <w:rFonts w:ascii="Arial" w:hAnsi="Arial" w:cs="Arial"/>
          <w:sz w:val="22"/>
          <w:szCs w:val="22"/>
        </w:rPr>
      </w:pPr>
    </w:p>
    <w:p w14:paraId="0DD79CB7" w14:textId="7F03534B" w:rsidR="00A67CF1" w:rsidRDefault="00A67CF1" w:rsidP="00165A03">
      <w:pPr>
        <w:rPr>
          <w:rFonts w:ascii="Arial" w:hAnsi="Arial" w:cs="Arial"/>
          <w:b/>
          <w:bCs/>
          <w:sz w:val="22"/>
          <w:szCs w:val="22"/>
          <w:u w:val="single"/>
        </w:rPr>
      </w:pPr>
      <w:r>
        <w:rPr>
          <w:rFonts w:ascii="Arial" w:hAnsi="Arial" w:cs="Arial"/>
          <w:b/>
          <w:bCs/>
          <w:sz w:val="22"/>
          <w:szCs w:val="22"/>
          <w:u w:val="single"/>
        </w:rPr>
        <w:t xml:space="preserve">Dosage Forms </w:t>
      </w:r>
    </w:p>
    <w:p w14:paraId="608D1FCE" w14:textId="7669427C" w:rsidR="00A67CF1" w:rsidRDefault="00A67CF1" w:rsidP="00A67CF1">
      <w:pPr>
        <w:pStyle w:val="ListParagraph"/>
        <w:numPr>
          <w:ilvl w:val="0"/>
          <w:numId w:val="1"/>
        </w:numPr>
        <w:rPr>
          <w:rFonts w:ascii="Arial" w:hAnsi="Arial" w:cs="Arial"/>
          <w:sz w:val="22"/>
          <w:szCs w:val="22"/>
        </w:rPr>
      </w:pPr>
      <w:r>
        <w:rPr>
          <w:rFonts w:ascii="Arial" w:hAnsi="Arial" w:cs="Arial"/>
          <w:sz w:val="22"/>
          <w:szCs w:val="22"/>
        </w:rPr>
        <w:t xml:space="preserve">Capsules: 1 mg and 2 mg </w:t>
      </w:r>
    </w:p>
    <w:p w14:paraId="50E1D346" w14:textId="0B6A60C4" w:rsidR="00A67CF1" w:rsidRDefault="00A67CF1" w:rsidP="001F4E7B">
      <w:pPr>
        <w:pStyle w:val="ListParagraph"/>
        <w:numPr>
          <w:ilvl w:val="0"/>
          <w:numId w:val="1"/>
        </w:numPr>
        <w:rPr>
          <w:rFonts w:ascii="Arial" w:hAnsi="Arial" w:cs="Arial"/>
          <w:sz w:val="22"/>
          <w:szCs w:val="22"/>
        </w:rPr>
      </w:pPr>
      <w:r>
        <w:rPr>
          <w:rFonts w:ascii="Arial" w:hAnsi="Arial" w:cs="Arial"/>
          <w:sz w:val="22"/>
          <w:szCs w:val="22"/>
        </w:rPr>
        <w:t xml:space="preserve">Dispersible tablets for oral suspension: 1 mg </w:t>
      </w:r>
    </w:p>
    <w:p w14:paraId="07CD8E50" w14:textId="77777777" w:rsidR="00826468" w:rsidRDefault="00826468" w:rsidP="00826468">
      <w:pPr>
        <w:spacing w:after="160" w:line="254" w:lineRule="auto"/>
        <w:rPr>
          <w:rFonts w:cstheme="minorHAnsi"/>
          <w:b/>
          <w:bCs/>
          <w:color w:val="11322C" w:themeColor="background1"/>
          <w:sz w:val="18"/>
          <w:szCs w:val="18"/>
        </w:rPr>
      </w:pPr>
    </w:p>
    <w:p w14:paraId="3F4B3C9C" w14:textId="77777777" w:rsidR="00773340" w:rsidRDefault="00773340" w:rsidP="00826468">
      <w:pPr>
        <w:spacing w:after="160" w:line="254" w:lineRule="auto"/>
        <w:rPr>
          <w:rFonts w:ascii="Arial" w:hAnsi="Arial" w:cs="Arial"/>
          <w:b/>
          <w:bCs/>
          <w:color w:val="000000"/>
          <w:sz w:val="22"/>
          <w:szCs w:val="22"/>
        </w:rPr>
      </w:pPr>
    </w:p>
    <w:p w14:paraId="4262746D" w14:textId="77777777" w:rsidR="00773340" w:rsidRDefault="00773340" w:rsidP="00826468">
      <w:pPr>
        <w:spacing w:after="160" w:line="254" w:lineRule="auto"/>
        <w:rPr>
          <w:rFonts w:ascii="Arial" w:hAnsi="Arial" w:cs="Arial"/>
          <w:b/>
          <w:bCs/>
          <w:color w:val="000000"/>
          <w:sz w:val="22"/>
          <w:szCs w:val="22"/>
        </w:rPr>
      </w:pPr>
    </w:p>
    <w:p w14:paraId="76C12053" w14:textId="77777777" w:rsidR="00773340" w:rsidRDefault="00773340" w:rsidP="00826468">
      <w:pPr>
        <w:spacing w:after="160" w:line="254" w:lineRule="auto"/>
        <w:rPr>
          <w:rFonts w:ascii="Arial" w:hAnsi="Arial" w:cs="Arial"/>
          <w:b/>
          <w:bCs/>
          <w:color w:val="000000"/>
          <w:sz w:val="22"/>
          <w:szCs w:val="22"/>
        </w:rPr>
      </w:pPr>
    </w:p>
    <w:p w14:paraId="6B51F017" w14:textId="0C42B908" w:rsidR="00826468" w:rsidRPr="00B00011" w:rsidRDefault="008A403A" w:rsidP="00826468">
      <w:pPr>
        <w:spacing w:after="160" w:line="254" w:lineRule="auto"/>
        <w:rPr>
          <w:rFonts w:ascii="Arial" w:hAnsi="Arial" w:cs="Arial"/>
          <w:b/>
          <w:bCs/>
          <w:color w:val="000000"/>
          <w:sz w:val="22"/>
          <w:szCs w:val="22"/>
        </w:rPr>
      </w:pPr>
      <w:r w:rsidRPr="00B00011">
        <w:rPr>
          <w:rFonts w:ascii="Arial" w:hAnsi="Arial" w:cs="Arial"/>
          <w:b/>
          <w:bCs/>
          <w:color w:val="000000"/>
          <w:sz w:val="22"/>
          <w:szCs w:val="22"/>
        </w:rPr>
        <w:t>INDICATION</w:t>
      </w:r>
    </w:p>
    <w:p w14:paraId="41749765" w14:textId="44FF3E1C" w:rsidR="00826468" w:rsidRPr="00B00011" w:rsidRDefault="00826468" w:rsidP="00826468">
      <w:pPr>
        <w:spacing w:after="160" w:line="254" w:lineRule="auto"/>
        <w:rPr>
          <w:rFonts w:ascii="Arial" w:hAnsi="Arial" w:cs="Arial"/>
          <w:color w:val="000000"/>
          <w:sz w:val="22"/>
          <w:szCs w:val="22"/>
        </w:rPr>
      </w:pPr>
      <w:r w:rsidRPr="00B00011">
        <w:rPr>
          <w:rFonts w:ascii="Arial" w:hAnsi="Arial" w:cs="Arial"/>
          <w:color w:val="000000"/>
          <w:sz w:val="22"/>
          <w:szCs w:val="22"/>
        </w:rPr>
        <w:t xml:space="preserve">GOMEKLI </w:t>
      </w:r>
      <w:r w:rsidR="0051338C" w:rsidRPr="00B00011">
        <w:rPr>
          <w:rFonts w:ascii="Arial" w:hAnsi="Arial" w:cs="Arial"/>
          <w:color w:val="000000"/>
          <w:sz w:val="22"/>
          <w:szCs w:val="22"/>
        </w:rPr>
        <w:t xml:space="preserve">(mirdametinib) </w:t>
      </w:r>
      <w:r w:rsidRPr="00B00011">
        <w:rPr>
          <w:rFonts w:ascii="Arial" w:hAnsi="Arial" w:cs="Arial"/>
          <w:color w:val="000000"/>
          <w:sz w:val="22"/>
          <w:szCs w:val="22"/>
        </w:rPr>
        <w:t>is indicated for the treatment of adult and pediatric patients 2 years of age and older with neurofibromatosis type 1 (NF1) who have</w:t>
      </w:r>
      <w:r w:rsidR="00413511" w:rsidRPr="00B00011">
        <w:rPr>
          <w:rFonts w:ascii="Arial" w:hAnsi="Arial" w:cs="Arial"/>
          <w:color w:val="000000"/>
          <w:sz w:val="22"/>
          <w:szCs w:val="22"/>
        </w:rPr>
        <w:t xml:space="preserve"> </w:t>
      </w:r>
      <w:r w:rsidRPr="00B00011">
        <w:rPr>
          <w:rFonts w:ascii="Arial" w:hAnsi="Arial" w:cs="Arial"/>
          <w:color w:val="000000"/>
          <w:sz w:val="22"/>
          <w:szCs w:val="22"/>
        </w:rPr>
        <w:t>symptomatic</w:t>
      </w:r>
      <w:r w:rsidR="00612EAE" w:rsidRPr="00B00011">
        <w:rPr>
          <w:rFonts w:ascii="Arial" w:hAnsi="Arial" w:cs="Arial"/>
          <w:color w:val="000000"/>
          <w:sz w:val="22"/>
          <w:szCs w:val="22"/>
        </w:rPr>
        <w:t xml:space="preserve"> </w:t>
      </w:r>
      <w:r w:rsidRPr="00B00011">
        <w:rPr>
          <w:rFonts w:ascii="Arial" w:hAnsi="Arial" w:cs="Arial"/>
          <w:color w:val="000000"/>
          <w:sz w:val="22"/>
          <w:szCs w:val="22"/>
        </w:rPr>
        <w:t>plexiform neurofibromas (PN)</w:t>
      </w:r>
      <w:r w:rsidR="00413511" w:rsidRPr="00B00011">
        <w:rPr>
          <w:rFonts w:ascii="Arial" w:hAnsi="Arial" w:cs="Arial"/>
          <w:color w:val="000000"/>
          <w:sz w:val="22"/>
          <w:szCs w:val="22"/>
        </w:rPr>
        <w:t xml:space="preserve"> not amenable to complete resection</w:t>
      </w:r>
      <w:r w:rsidRPr="00B00011">
        <w:rPr>
          <w:rFonts w:ascii="Arial" w:hAnsi="Arial" w:cs="Arial"/>
          <w:color w:val="000000"/>
          <w:sz w:val="22"/>
          <w:szCs w:val="22"/>
        </w:rPr>
        <w:t>.</w:t>
      </w:r>
    </w:p>
    <w:p w14:paraId="3EB6FE72" w14:textId="1831A12F" w:rsidR="00B847B8" w:rsidRPr="00B847B8" w:rsidRDefault="00356DE8" w:rsidP="00B847B8">
      <w:pPr>
        <w:suppressAutoHyphens/>
        <w:autoSpaceDN w:val="0"/>
        <w:spacing w:after="160" w:line="254" w:lineRule="auto"/>
        <w:rPr>
          <w:rFonts w:ascii="Arial" w:eastAsia="Calibri" w:hAnsi="Arial" w:cs="Arial"/>
          <w:b/>
          <w:bCs/>
          <w:sz w:val="22"/>
          <w:szCs w:val="22"/>
        </w:rPr>
      </w:pPr>
      <w:r>
        <w:rPr>
          <w:rFonts w:ascii="Arial" w:eastAsia="Calibri" w:hAnsi="Arial" w:cs="Arial"/>
          <w:b/>
          <w:bCs/>
          <w:sz w:val="22"/>
          <w:szCs w:val="22"/>
        </w:rPr>
        <w:br/>
      </w:r>
      <w:r w:rsidR="00B847B8" w:rsidRPr="00B847B8">
        <w:rPr>
          <w:rFonts w:ascii="Arial" w:eastAsia="Calibri" w:hAnsi="Arial" w:cs="Arial"/>
          <w:b/>
          <w:bCs/>
          <w:sz w:val="22"/>
          <w:szCs w:val="22"/>
        </w:rPr>
        <w:t>IMPORTANT SAFETY INFORMATION</w:t>
      </w:r>
    </w:p>
    <w:p w14:paraId="0D4C36C1" w14:textId="77777777" w:rsidR="00B847B8" w:rsidRPr="00B00011" w:rsidRDefault="00B847B8" w:rsidP="00B847B8">
      <w:pPr>
        <w:suppressAutoHyphens/>
        <w:autoSpaceDN w:val="0"/>
        <w:spacing w:after="120" w:line="254" w:lineRule="auto"/>
        <w:rPr>
          <w:rFonts w:ascii="Arial" w:eastAsia="Calibri" w:hAnsi="Arial" w:cs="Arial"/>
          <w:b/>
          <w:bCs/>
          <w:color w:val="000000"/>
          <w:sz w:val="22"/>
          <w:szCs w:val="22"/>
        </w:rPr>
      </w:pPr>
      <w:r w:rsidRPr="00B00011">
        <w:rPr>
          <w:rFonts w:ascii="Arial" w:eastAsia="Calibri" w:hAnsi="Arial" w:cs="Arial"/>
          <w:b/>
          <w:bCs/>
          <w:color w:val="000000"/>
          <w:sz w:val="22"/>
          <w:szCs w:val="22"/>
        </w:rPr>
        <w:t>WARNINGS AND PRECAUTIONS</w:t>
      </w:r>
    </w:p>
    <w:p w14:paraId="79CAB934" w14:textId="75B17E09" w:rsidR="00BE0D59" w:rsidRDefault="00B847B8" w:rsidP="0034767A">
      <w:pPr>
        <w:rPr>
          <w:rFonts w:ascii="Arial" w:hAnsi="Arial" w:cs="Arial"/>
          <w:sz w:val="22"/>
          <w:szCs w:val="22"/>
        </w:rPr>
      </w:pPr>
      <w:r w:rsidRPr="00B00011">
        <w:rPr>
          <w:rFonts w:ascii="Arial" w:hAnsi="Arial" w:cs="Arial"/>
          <w:b/>
          <w:bCs/>
          <w:color w:val="000000"/>
          <w:sz w:val="22"/>
          <w:szCs w:val="22"/>
        </w:rPr>
        <w:t xml:space="preserve">Ocular Toxicity: </w:t>
      </w:r>
      <w:r w:rsidR="0034767A" w:rsidRPr="00B00011">
        <w:rPr>
          <w:rFonts w:ascii="Arial" w:eastAsia="Calibri" w:hAnsi="Arial" w:cs="Arial"/>
          <w:color w:val="000000"/>
          <w:kern w:val="3"/>
          <w:sz w:val="22"/>
          <w:szCs w:val="22"/>
        </w:rPr>
        <w:t xml:space="preserve">GOMEKLI can cause ocular toxicity including retinal vein occlusion (RVO), retinal pigment epithelium detachment (RPED), and blurred vision. In the adult pooled safety population, ocular toxicity occurred in 28% of patients treated with GOMEKLI: 21% were Grade 1, 5% were </w:t>
      </w:r>
      <w:proofErr w:type="gramStart"/>
      <w:r w:rsidR="0034767A" w:rsidRPr="00B00011">
        <w:rPr>
          <w:rFonts w:ascii="Arial" w:eastAsia="Calibri" w:hAnsi="Arial" w:cs="Arial"/>
          <w:color w:val="000000"/>
          <w:kern w:val="3"/>
          <w:sz w:val="22"/>
          <w:szCs w:val="22"/>
        </w:rPr>
        <w:t>Grade</w:t>
      </w:r>
      <w:proofErr w:type="gramEnd"/>
      <w:r w:rsidR="0034767A" w:rsidRPr="00B00011">
        <w:rPr>
          <w:rFonts w:ascii="Arial" w:eastAsia="Calibri" w:hAnsi="Arial" w:cs="Arial"/>
          <w:color w:val="000000"/>
          <w:kern w:val="3"/>
          <w:sz w:val="22"/>
          <w:szCs w:val="22"/>
        </w:rPr>
        <w:t xml:space="preserve"> 2 and 1.3% were Grade 3. RVO occurred in 2.7%, RPED occurred</w:t>
      </w:r>
      <w:r w:rsidR="0034767A" w:rsidRPr="00CA032D">
        <w:rPr>
          <w:rFonts w:ascii="Arial" w:eastAsia="Calibri" w:hAnsi="Arial" w:cs="Arial"/>
          <w:kern w:val="3"/>
          <w:sz w:val="22"/>
          <w:szCs w:val="22"/>
        </w:rPr>
        <w:t xml:space="preserve"> in 1.3%, and blurred vision occurred in 9% of adult patients. In the pediatric pooled safety population, ocular toxicity occurred in 19% of patients: 17% were </w:t>
      </w:r>
      <w:proofErr w:type="gramStart"/>
      <w:r w:rsidR="0034767A" w:rsidRPr="00CA032D">
        <w:rPr>
          <w:rFonts w:ascii="Arial" w:eastAsia="Calibri" w:hAnsi="Arial" w:cs="Arial"/>
          <w:kern w:val="3"/>
          <w:sz w:val="22"/>
          <w:szCs w:val="22"/>
        </w:rPr>
        <w:t>Grade</w:t>
      </w:r>
      <w:proofErr w:type="gramEnd"/>
      <w:r w:rsidR="0034767A" w:rsidRPr="00CA032D">
        <w:rPr>
          <w:rFonts w:ascii="Arial" w:eastAsia="Calibri" w:hAnsi="Arial" w:cs="Arial"/>
          <w:kern w:val="3"/>
          <w:sz w:val="22"/>
          <w:szCs w:val="22"/>
        </w:rPr>
        <w:t xml:space="preserve"> 1 and 1.7% were Grade 2. Conduct comprehensive ophthalmic assessments prior to initiating GOMEKLI, at regular intervals during treatment, and to evaluate any new or worsening visual changes such as blurred vision. Continue, withhold, reduce the dose, or permanently discontinue GOMEKLI as clinically indicated.</w:t>
      </w:r>
      <w:r w:rsidR="00BE0D59">
        <w:rPr>
          <w:rFonts w:ascii="Arial" w:hAnsi="Arial" w:cs="Arial"/>
          <w:b/>
          <w:bCs/>
          <w:sz w:val="22"/>
          <w:szCs w:val="22"/>
        </w:rPr>
        <w:br/>
      </w:r>
    </w:p>
    <w:p w14:paraId="55279446" w14:textId="52FE35D8" w:rsidR="00B847B8" w:rsidRDefault="00B847B8" w:rsidP="001C74B5">
      <w:pPr>
        <w:rPr>
          <w:rFonts w:ascii="Arial" w:hAnsi="Arial" w:cs="Arial"/>
          <w:b/>
          <w:bCs/>
        </w:rPr>
      </w:pPr>
      <w:r w:rsidRPr="007E4C2A">
        <w:rPr>
          <w:rFonts w:ascii="Arial" w:hAnsi="Arial" w:cs="Arial"/>
          <w:b/>
          <w:bCs/>
          <w:sz w:val="22"/>
          <w:szCs w:val="22"/>
        </w:rPr>
        <w:t>Left Ventricular Dysfunction:</w:t>
      </w:r>
      <w:r w:rsidRPr="007E4C2A">
        <w:rPr>
          <w:rFonts w:ascii="Arial" w:hAnsi="Arial" w:cs="Arial"/>
          <w:sz w:val="22"/>
          <w:szCs w:val="22"/>
        </w:rPr>
        <w:t xml:space="preserve"> </w:t>
      </w:r>
      <w:r w:rsidR="0034767A" w:rsidRPr="00CA032D">
        <w:rPr>
          <w:rFonts w:ascii="Arial" w:eastAsia="Calibri" w:hAnsi="Arial" w:cs="Arial"/>
          <w:kern w:val="3"/>
          <w:sz w:val="22"/>
          <w:szCs w:val="22"/>
        </w:rPr>
        <w:t>GOMEKLI can cause left ventricular dysfunction. GOMEKLI has not been studied in patients with a history of clinically significant cardiac disease or LVEF &lt;55% prior to initiation of treatment. In the ReNeu study, decreased LVEF of 10 to &lt;20% occurred in 16% of adult patients treated with GOMEKLI. Five patients (9%) required dose interruption, one patient (1.7%) required a dose reduction, and one patient required permanent discontinuation of GOMEKLI. The median time to first onset of decreased LVEF in adult patients was 70 days. Decreased LVEF of 10 to &lt;20% occurred in 25%, and decreased LVEF of ≥20% occurred in 1.8% of pediatric patients treated with GOMEKLI. One patient (1.8%) required dose interruption of GOMEKLI. The median time to first onset of decreased LVEF in pediatric patients was 132 days. All patients with decreased LVEF were identified during routine echocardiography,</w:t>
      </w:r>
      <w:r w:rsidR="000B76B5">
        <w:rPr>
          <w:rFonts w:ascii="Arial" w:eastAsia="Calibri" w:hAnsi="Arial" w:cs="Arial"/>
          <w:kern w:val="3"/>
          <w:sz w:val="22"/>
          <w:szCs w:val="22"/>
        </w:rPr>
        <w:t xml:space="preserve"> </w:t>
      </w:r>
      <w:r w:rsidR="0034767A" w:rsidRPr="00CA032D">
        <w:rPr>
          <w:rFonts w:ascii="Arial" w:eastAsia="Calibri" w:hAnsi="Arial" w:cs="Arial"/>
          <w:kern w:val="3"/>
          <w:sz w:val="22"/>
          <w:szCs w:val="22"/>
        </w:rPr>
        <w:t>and decreased LVEF resolved in 75% of patients. Before initiating GOMEKLI, assess ejection fraction (EF) by echocardiogram. Monitor EF every 3 months during the first year and then as clinicall</w:t>
      </w:r>
      <w:r w:rsidR="000B76B5">
        <w:rPr>
          <w:rFonts w:ascii="Arial" w:eastAsia="Calibri" w:hAnsi="Arial" w:cs="Arial"/>
          <w:kern w:val="3"/>
          <w:sz w:val="22"/>
          <w:szCs w:val="22"/>
        </w:rPr>
        <w:t xml:space="preserve">y </w:t>
      </w:r>
      <w:r w:rsidR="0034767A" w:rsidRPr="00CA032D">
        <w:rPr>
          <w:rFonts w:ascii="Arial" w:eastAsia="Calibri" w:hAnsi="Arial" w:cs="Arial"/>
          <w:kern w:val="3"/>
          <w:sz w:val="22"/>
          <w:szCs w:val="22"/>
        </w:rPr>
        <w:t>indicated</w:t>
      </w:r>
      <w:r w:rsidR="000B76B5">
        <w:rPr>
          <w:rFonts w:ascii="Arial" w:eastAsia="Calibri" w:hAnsi="Arial" w:cs="Arial"/>
          <w:kern w:val="3"/>
          <w:sz w:val="22"/>
          <w:szCs w:val="22"/>
        </w:rPr>
        <w:t xml:space="preserve">. </w:t>
      </w:r>
      <w:r w:rsidR="0034767A" w:rsidRPr="00CA032D">
        <w:rPr>
          <w:rFonts w:ascii="Arial" w:eastAsia="Calibri" w:hAnsi="Arial" w:cs="Arial"/>
          <w:kern w:val="3"/>
          <w:sz w:val="22"/>
          <w:szCs w:val="22"/>
        </w:rPr>
        <w:t>Withhold, reduce the dose, or permanently discontinue GOMEKLI based on severity of adverse reaction.</w:t>
      </w:r>
      <w:r w:rsidR="00BE0D59">
        <w:rPr>
          <w:rFonts w:ascii="Arial" w:eastAsia="Calibri" w:hAnsi="Arial" w:cs="Arial"/>
          <w:kern w:val="3"/>
          <w:sz w:val="22"/>
          <w:szCs w:val="22"/>
        </w:rPr>
        <w:br/>
      </w:r>
    </w:p>
    <w:p w14:paraId="71151D56" w14:textId="0DB13E11" w:rsidR="00B847B8" w:rsidRPr="007E4C2A" w:rsidRDefault="00B847B8" w:rsidP="00B847B8">
      <w:pPr>
        <w:spacing w:after="120"/>
        <w:rPr>
          <w:rFonts w:ascii="Arial" w:hAnsi="Arial" w:cs="Arial"/>
          <w:b/>
          <w:bCs/>
          <w:sz w:val="22"/>
          <w:szCs w:val="22"/>
        </w:rPr>
      </w:pPr>
      <w:r w:rsidRPr="007E4C2A">
        <w:rPr>
          <w:rFonts w:ascii="Arial" w:hAnsi="Arial" w:cs="Arial"/>
          <w:b/>
          <w:bCs/>
          <w:sz w:val="22"/>
          <w:szCs w:val="22"/>
        </w:rPr>
        <w:t>Dermatologic Adverse Reactions:</w:t>
      </w:r>
      <w:r w:rsidRPr="007E4C2A">
        <w:rPr>
          <w:rFonts w:ascii="Arial" w:hAnsi="Arial" w:cs="Arial"/>
          <w:sz w:val="22"/>
          <w:szCs w:val="22"/>
        </w:rPr>
        <w:t xml:space="preserve"> </w:t>
      </w:r>
      <w:r w:rsidR="0034767A" w:rsidRPr="00CA032D">
        <w:rPr>
          <w:rFonts w:ascii="Arial" w:eastAsia="Calibri" w:hAnsi="Arial" w:cs="Arial"/>
          <w:kern w:val="3"/>
          <w:sz w:val="22"/>
          <w:szCs w:val="22"/>
        </w:rPr>
        <w:t xml:space="preserve">GOMEKLI can cause dermatologic adverse reactions including rash. The most frequent rashes included dermatitis acneiform, rash, eczema, maculo-papular rash and pustular rash. In the pooled adult safety population, rash occurred in 92% of patients treated with GOMEKLI (37% were </w:t>
      </w:r>
      <w:proofErr w:type="gramStart"/>
      <w:r w:rsidR="0034767A" w:rsidRPr="00CA032D">
        <w:rPr>
          <w:rFonts w:ascii="Arial" w:eastAsia="Calibri" w:hAnsi="Arial" w:cs="Arial"/>
          <w:kern w:val="3"/>
          <w:sz w:val="22"/>
          <w:szCs w:val="22"/>
        </w:rPr>
        <w:t>Grade</w:t>
      </w:r>
      <w:proofErr w:type="gramEnd"/>
      <w:r w:rsidR="0034767A" w:rsidRPr="00CA032D">
        <w:rPr>
          <w:rFonts w:ascii="Arial" w:eastAsia="Calibri" w:hAnsi="Arial" w:cs="Arial"/>
          <w:kern w:val="3"/>
          <w:sz w:val="22"/>
          <w:szCs w:val="22"/>
        </w:rPr>
        <w:t xml:space="preserve"> 2 and 8% were Grade 3) and resulted in permanent discontinuation in 11% of patients. In the pooled pediatric safety population, rash occurred in 72% of patients treated with GOMEKLI (22% were </w:t>
      </w:r>
      <w:proofErr w:type="gramStart"/>
      <w:r w:rsidR="0034767A" w:rsidRPr="00CA032D">
        <w:rPr>
          <w:rFonts w:ascii="Arial" w:eastAsia="Calibri" w:hAnsi="Arial" w:cs="Arial"/>
          <w:kern w:val="3"/>
          <w:sz w:val="22"/>
          <w:szCs w:val="22"/>
        </w:rPr>
        <w:t>Grade</w:t>
      </w:r>
      <w:proofErr w:type="gramEnd"/>
      <w:r w:rsidR="0034767A" w:rsidRPr="00CA032D">
        <w:rPr>
          <w:rFonts w:ascii="Arial" w:eastAsia="Calibri" w:hAnsi="Arial" w:cs="Arial"/>
          <w:kern w:val="3"/>
          <w:sz w:val="22"/>
          <w:szCs w:val="22"/>
        </w:rPr>
        <w:t xml:space="preserve"> 2 and 3.4% were Grade 3) and resulted in permanent discontinuation in 3.4% of patients. Initiate supportive care at first signs of dermatologic adverse reactions. Withhold, reduce the dose, or permanently discontinue GOMEKLI based on severity of adverse reaction.</w:t>
      </w:r>
      <w:r w:rsidR="00BE0D59">
        <w:rPr>
          <w:rFonts w:ascii="Arial" w:hAnsi="Arial" w:cs="Arial"/>
        </w:rPr>
        <w:br/>
      </w:r>
      <w:r w:rsidR="00BE0D59">
        <w:rPr>
          <w:rFonts w:ascii="Arial" w:hAnsi="Arial" w:cs="Arial"/>
        </w:rPr>
        <w:br/>
      </w:r>
      <w:r w:rsidRPr="007E4C2A">
        <w:rPr>
          <w:rFonts w:ascii="Arial" w:hAnsi="Arial" w:cs="Arial"/>
          <w:b/>
          <w:bCs/>
          <w:sz w:val="22"/>
          <w:szCs w:val="22"/>
        </w:rPr>
        <w:t>Embryo-Fetal Toxicity:</w:t>
      </w:r>
      <w:r w:rsidRPr="007E4C2A">
        <w:rPr>
          <w:rFonts w:ascii="Arial" w:hAnsi="Arial" w:cs="Arial"/>
          <w:sz w:val="22"/>
          <w:szCs w:val="22"/>
        </w:rPr>
        <w:t xml:space="preserve"> </w:t>
      </w:r>
      <w:r w:rsidR="0034767A" w:rsidRPr="00CA032D">
        <w:rPr>
          <w:rFonts w:ascii="Arial" w:eastAsia="Calibri" w:hAnsi="Arial" w:cs="Arial"/>
          <w:kern w:val="3"/>
          <w:sz w:val="22"/>
          <w:szCs w:val="22"/>
        </w:rPr>
        <w:t>GOMEKLI can cause fetal harm when administered to a pregnant woman. Verify the pregnancy status of females of reproductive potential prior to the initiation of GOMEKLI. Advise pregnant women and females of reproductive potential of the potential risk to a fetus. Also advise patients to use effective contraception during treatment with GOMEKLI and for 6 weeks after the last dose (females) or 3 months after the last dose (males).</w:t>
      </w:r>
      <w:r w:rsidR="00BE0D59">
        <w:rPr>
          <w:rFonts w:ascii="Arial" w:hAnsi="Arial" w:cs="Arial"/>
          <w:b/>
          <w:bCs/>
          <w:sz w:val="22"/>
          <w:szCs w:val="22"/>
        </w:rPr>
        <w:br/>
      </w:r>
      <w:r w:rsidR="00BE0D59">
        <w:rPr>
          <w:rFonts w:ascii="Arial" w:hAnsi="Arial" w:cs="Arial"/>
          <w:b/>
          <w:bCs/>
          <w:sz w:val="22"/>
          <w:szCs w:val="22"/>
        </w:rPr>
        <w:br/>
      </w:r>
      <w:r w:rsidRPr="007E4C2A">
        <w:rPr>
          <w:rFonts w:ascii="Arial" w:hAnsi="Arial" w:cs="Arial"/>
          <w:b/>
          <w:bCs/>
          <w:sz w:val="22"/>
          <w:szCs w:val="22"/>
        </w:rPr>
        <w:t>ADVERSE REACTIONS</w:t>
      </w:r>
    </w:p>
    <w:p w14:paraId="1A646EB3" w14:textId="77777777" w:rsidR="0034767A" w:rsidRPr="00CA032D" w:rsidRDefault="0034767A" w:rsidP="0034767A">
      <w:pPr>
        <w:suppressAutoHyphens/>
        <w:autoSpaceDN w:val="0"/>
        <w:spacing w:after="160" w:line="251" w:lineRule="auto"/>
        <w:rPr>
          <w:rFonts w:ascii="Arial" w:eastAsia="Calibri" w:hAnsi="Arial" w:cs="Arial"/>
          <w:kern w:val="3"/>
          <w:sz w:val="22"/>
          <w:szCs w:val="22"/>
        </w:rPr>
      </w:pPr>
      <w:r w:rsidRPr="00CA032D">
        <w:rPr>
          <w:rFonts w:ascii="Arial" w:eastAsia="Calibri" w:hAnsi="Arial" w:cs="Arial"/>
          <w:kern w:val="3"/>
          <w:sz w:val="22"/>
          <w:szCs w:val="22"/>
        </w:rPr>
        <w:lastRenderedPageBreak/>
        <w:t>The most common adverse reactions (&gt;25%) in adult patients were rash (90%), diarrhea (59%), nausea (52%), musculoskeletal pain (41%), vomiting (38%), and fatigue (29%). Serious adverse reactions occurred in 17% of adult patients who received GOMEKLI. The most common Grade 3 or 4 laboratory abnormality (&gt;2%) was increased creatine phosphokinase.</w:t>
      </w:r>
    </w:p>
    <w:p w14:paraId="589E434C" w14:textId="4163CA71" w:rsidR="00B847B8" w:rsidRDefault="0034767A" w:rsidP="00CA032D">
      <w:pPr>
        <w:suppressAutoHyphens/>
        <w:autoSpaceDN w:val="0"/>
        <w:spacing w:after="120" w:line="254" w:lineRule="auto"/>
        <w:rPr>
          <w:rFonts w:ascii="Arial" w:hAnsi="Arial" w:cs="Arial"/>
          <w:b/>
          <w:bCs/>
          <w:color w:val="11322C" w:themeColor="background1"/>
          <w:sz w:val="22"/>
          <w:szCs w:val="22"/>
        </w:rPr>
      </w:pPr>
      <w:r w:rsidRPr="00CA032D">
        <w:rPr>
          <w:rFonts w:ascii="Arial" w:eastAsia="Calibri" w:hAnsi="Arial" w:cs="Arial"/>
          <w:kern w:val="3"/>
          <w:sz w:val="22"/>
          <w:szCs w:val="22"/>
        </w:rPr>
        <w:t xml:space="preserve">The most common adverse reactions (&gt;25%) in pediatric patients were rash (73%), diarrhea (55%), musculoskeletal pain (41%), abdominal pain (39%), vomiting (39%), headache (34%), paronychia (32%), left ventricular dysfunction (27%), and nausea (27%). Serious adverse reactions occurred in 14% of pediatric patients who received GOMEKLI. The most common Grade 3 or 4 laboratory abnormalities (&gt;2%) were decreased neutrophil count and increased creatine phosphokinase. </w:t>
      </w:r>
    </w:p>
    <w:p w14:paraId="274A99D2" w14:textId="77777777" w:rsidR="00B847B8" w:rsidRPr="00CA032D" w:rsidRDefault="00B847B8" w:rsidP="00826468">
      <w:pPr>
        <w:suppressAutoHyphens/>
        <w:autoSpaceDN w:val="0"/>
        <w:rPr>
          <w:rFonts w:ascii="Arial" w:hAnsi="Arial" w:cs="Arial"/>
          <w:b/>
          <w:bCs/>
          <w:color w:val="11322C" w:themeColor="background1"/>
        </w:rPr>
      </w:pPr>
    </w:p>
    <w:p w14:paraId="19C198F0" w14:textId="77777777" w:rsidR="00B847B8" w:rsidRPr="00B847B8" w:rsidRDefault="00B847B8" w:rsidP="00B847B8">
      <w:pPr>
        <w:suppressAutoHyphens/>
        <w:autoSpaceDN w:val="0"/>
        <w:spacing w:after="120" w:line="254" w:lineRule="auto"/>
        <w:ind w:left="-14"/>
        <w:rPr>
          <w:rFonts w:ascii="Arial" w:eastAsia="Calibri" w:hAnsi="Arial" w:cs="Arial"/>
          <w:b/>
          <w:bCs/>
          <w:sz w:val="22"/>
          <w:szCs w:val="22"/>
        </w:rPr>
      </w:pPr>
      <w:r w:rsidRPr="00B847B8">
        <w:rPr>
          <w:rFonts w:ascii="Arial" w:eastAsia="Calibri" w:hAnsi="Arial" w:cs="Arial"/>
          <w:b/>
          <w:bCs/>
          <w:sz w:val="22"/>
          <w:szCs w:val="22"/>
        </w:rPr>
        <w:t>USE IN SPECIFIC POPULATIONS</w:t>
      </w:r>
    </w:p>
    <w:p w14:paraId="177BB256" w14:textId="427610D3" w:rsidR="00B847B8" w:rsidRPr="00C8061D" w:rsidRDefault="0034767A" w:rsidP="00826468">
      <w:pPr>
        <w:suppressAutoHyphens/>
        <w:autoSpaceDN w:val="0"/>
        <w:rPr>
          <w:rFonts w:ascii="Arial" w:hAnsi="Arial" w:cs="Arial"/>
          <w:b/>
          <w:bCs/>
          <w:color w:val="11322C" w:themeColor="background1"/>
          <w:sz w:val="22"/>
          <w:szCs w:val="22"/>
        </w:rPr>
      </w:pPr>
      <w:r w:rsidRPr="00CA032D">
        <w:rPr>
          <w:rFonts w:ascii="Arial" w:eastAsia="Calibri" w:hAnsi="Arial" w:cs="Arial"/>
          <w:kern w:val="3"/>
          <w:sz w:val="22"/>
          <w:szCs w:val="22"/>
        </w:rPr>
        <w:t xml:space="preserve">Verify the pregnancy status of patients of reproductive potential prior to initiating GOMEKLI. Due to the potential for adverse reactions in a breastfed child, advise patients not to breastfeed during treatment with GOMEKLI and for 1 week after the last dose. </w:t>
      </w:r>
    </w:p>
    <w:p w14:paraId="771832E1" w14:textId="77777777" w:rsidR="00826468" w:rsidRPr="00C8061D" w:rsidRDefault="00826468" w:rsidP="007E4C2A">
      <w:pPr>
        <w:rPr>
          <w:b/>
          <w:bCs/>
          <w:color w:val="11322C" w:themeColor="background1"/>
          <w:sz w:val="22"/>
          <w:szCs w:val="22"/>
        </w:rPr>
      </w:pPr>
    </w:p>
    <w:p w14:paraId="658C6E80" w14:textId="4D199053" w:rsidR="00B847B8" w:rsidRPr="007E4C2A" w:rsidRDefault="00B847B8" w:rsidP="00B847B8">
      <w:pPr>
        <w:rPr>
          <w:rFonts w:ascii="Arial" w:hAnsi="Arial" w:cs="Arial"/>
          <w:b/>
          <w:bCs/>
          <w:sz w:val="22"/>
          <w:szCs w:val="22"/>
        </w:rPr>
      </w:pPr>
      <w:r w:rsidRPr="007E4C2A">
        <w:rPr>
          <w:rFonts w:ascii="Arial" w:hAnsi="Arial" w:cs="Arial"/>
          <w:b/>
          <w:bCs/>
          <w:sz w:val="22"/>
          <w:szCs w:val="22"/>
        </w:rPr>
        <w:t>To report SUSPECTED ADVERSE REACTIONS, contact SpringWorks Therapeutics Inc. at 1-888-400-7989 or FDA at 1-800-FDA-1088 or www.fda.gov/medwatch.</w:t>
      </w:r>
    </w:p>
    <w:p w14:paraId="164B372A" w14:textId="009633D8" w:rsidR="00826468" w:rsidRPr="004D2F4E" w:rsidRDefault="00B847B8" w:rsidP="00826468">
      <w:pPr>
        <w:spacing w:before="120"/>
        <w:ind w:right="1152"/>
        <w:rPr>
          <w:rFonts w:cstheme="minorHAnsi"/>
          <w:b/>
          <w:bCs/>
          <w:sz w:val="18"/>
          <w:szCs w:val="18"/>
        </w:rPr>
      </w:pPr>
      <w:r w:rsidRPr="007E4C2A">
        <w:rPr>
          <w:rFonts w:ascii="Arial" w:hAnsi="Arial" w:cs="Arial"/>
          <w:b/>
          <w:bCs/>
          <w:sz w:val="22"/>
          <w:szCs w:val="22"/>
        </w:rPr>
        <w:t xml:space="preserve">Please </w:t>
      </w:r>
      <w:hyperlink r:id="rId9" w:history="1">
        <w:r w:rsidRPr="00A63599">
          <w:rPr>
            <w:rStyle w:val="Hyperlink"/>
            <w:rFonts w:ascii="Arial" w:hAnsi="Arial" w:cs="Arial"/>
            <w:b/>
            <w:bCs/>
            <w:sz w:val="22"/>
            <w:szCs w:val="22"/>
          </w:rPr>
          <w:t>click here</w:t>
        </w:r>
      </w:hyperlink>
      <w:r w:rsidRPr="007E4C2A">
        <w:rPr>
          <w:rFonts w:ascii="Arial" w:hAnsi="Arial" w:cs="Arial"/>
          <w:b/>
          <w:bCs/>
          <w:sz w:val="22"/>
          <w:szCs w:val="22"/>
        </w:rPr>
        <w:t xml:space="preserve"> for full Prescribing Information including Patient Information and Instructions for Use.</w:t>
      </w:r>
    </w:p>
    <w:p w14:paraId="22BE0521" w14:textId="77777777" w:rsidR="005A589B" w:rsidRPr="00B95690" w:rsidRDefault="005A589B" w:rsidP="00165A03">
      <w:pPr>
        <w:rPr>
          <w:rFonts w:ascii="Arial" w:hAnsi="Arial" w:cs="Arial"/>
          <w:sz w:val="21"/>
          <w:szCs w:val="21"/>
        </w:rPr>
      </w:pPr>
    </w:p>
    <w:p w14:paraId="0E071022" w14:textId="77777777" w:rsidR="00612EAE" w:rsidRDefault="00612EAE" w:rsidP="00165A03">
      <w:pPr>
        <w:rPr>
          <w:rFonts w:ascii="Arial" w:hAnsi="Arial" w:cs="Arial"/>
          <w:b/>
          <w:bCs/>
          <w:sz w:val="18"/>
          <w:szCs w:val="18"/>
        </w:rPr>
      </w:pPr>
    </w:p>
    <w:p w14:paraId="3E7A2D30" w14:textId="77777777" w:rsidR="00612EAE" w:rsidRDefault="00612EAE" w:rsidP="00165A03">
      <w:pPr>
        <w:rPr>
          <w:rFonts w:ascii="Arial" w:hAnsi="Arial" w:cs="Arial"/>
          <w:b/>
          <w:bCs/>
          <w:sz w:val="18"/>
          <w:szCs w:val="18"/>
        </w:rPr>
      </w:pPr>
    </w:p>
    <w:p w14:paraId="0A54708E" w14:textId="383C9F89" w:rsidR="00F57A28" w:rsidRPr="00DD121A" w:rsidRDefault="00165A03" w:rsidP="00165A03">
      <w:pPr>
        <w:rPr>
          <w:rFonts w:ascii="Arial" w:eastAsia="Aptos" w:hAnsi="Arial" w:cs="Arial"/>
          <w:color w:val="000000"/>
          <w:kern w:val="2"/>
          <w:sz w:val="18"/>
          <w:szCs w:val="18"/>
          <w14:ligatures w14:val="standardContextual"/>
        </w:rPr>
      </w:pPr>
      <w:r w:rsidRPr="00B00011">
        <w:rPr>
          <w:rFonts w:ascii="Arial" w:hAnsi="Arial" w:cs="Arial"/>
          <w:b/>
          <w:bCs/>
          <w:color w:val="000000"/>
          <w:sz w:val="18"/>
          <w:szCs w:val="18"/>
        </w:rPr>
        <w:t xml:space="preserve">References: 1. </w:t>
      </w:r>
      <w:r w:rsidR="008653CE" w:rsidRPr="00B00011">
        <w:rPr>
          <w:rFonts w:ascii="Arial" w:eastAsia="Aptos" w:hAnsi="Arial" w:cs="Arial"/>
          <w:color w:val="000000"/>
          <w:kern w:val="2"/>
          <w:sz w:val="18"/>
          <w:szCs w:val="18"/>
          <w14:ligatures w14:val="standardContextual"/>
        </w:rPr>
        <w:t>GOMEKLI</w:t>
      </w:r>
      <w:r w:rsidR="0093567F" w:rsidRPr="00B00011">
        <w:rPr>
          <w:rFonts w:ascii="Arial" w:eastAsia="Aptos" w:hAnsi="Arial" w:cs="Arial"/>
          <w:color w:val="000000"/>
          <w:kern w:val="2"/>
          <w:sz w:val="18"/>
          <w:szCs w:val="18"/>
          <w14:ligatures w14:val="standardContextual"/>
        </w:rPr>
        <w:t>.</w:t>
      </w:r>
      <w:r w:rsidR="008653CE" w:rsidRPr="00B00011">
        <w:rPr>
          <w:rFonts w:ascii="Arial" w:eastAsia="Aptos" w:hAnsi="Arial" w:cs="Arial"/>
          <w:color w:val="000000"/>
          <w:kern w:val="2"/>
          <w:sz w:val="18"/>
          <w:szCs w:val="18"/>
          <w14:ligatures w14:val="standardContextual"/>
        </w:rPr>
        <w:t xml:space="preserve"> Prescribing Information</w:t>
      </w:r>
      <w:r w:rsidR="00B95690" w:rsidRPr="00B00011">
        <w:rPr>
          <w:rFonts w:ascii="Arial" w:eastAsia="Aptos" w:hAnsi="Arial" w:cs="Arial"/>
          <w:color w:val="000000"/>
          <w:kern w:val="2"/>
          <w:sz w:val="18"/>
          <w:szCs w:val="18"/>
          <w14:ligatures w14:val="standardContextual"/>
        </w:rPr>
        <w:t>.</w:t>
      </w:r>
      <w:r w:rsidR="008653CE" w:rsidRPr="00B00011">
        <w:rPr>
          <w:rFonts w:ascii="Arial" w:eastAsia="Aptos" w:hAnsi="Arial" w:cs="Arial"/>
          <w:color w:val="000000"/>
          <w:kern w:val="2"/>
          <w:sz w:val="18"/>
          <w:szCs w:val="18"/>
          <w14:ligatures w14:val="standardContextual"/>
        </w:rPr>
        <w:t xml:space="preserve"> </w:t>
      </w:r>
      <w:r w:rsidR="0093567F" w:rsidRPr="00B00011">
        <w:rPr>
          <w:rFonts w:ascii="Arial" w:eastAsia="Aptos" w:hAnsi="Arial" w:cs="Arial"/>
          <w:color w:val="000000"/>
          <w:kern w:val="2"/>
          <w:sz w:val="18"/>
          <w:szCs w:val="18"/>
          <w14:ligatures w14:val="standardContextual"/>
        </w:rPr>
        <w:t>SpringWorks Therapeutics, Inc.</w:t>
      </w:r>
      <w:r w:rsidR="005C1F9E" w:rsidRPr="00B00011">
        <w:rPr>
          <w:rFonts w:ascii="Arial" w:eastAsia="Aptos" w:hAnsi="Arial" w:cs="Arial"/>
          <w:color w:val="000000"/>
          <w:kern w:val="2"/>
          <w:sz w:val="18"/>
          <w:szCs w:val="18"/>
          <w14:ligatures w14:val="standardContextual"/>
        </w:rPr>
        <w:t xml:space="preserve"> </w:t>
      </w:r>
      <w:r w:rsidR="005C1F9E" w:rsidRPr="00B00011">
        <w:rPr>
          <w:rFonts w:ascii="Arial" w:eastAsia="Aptos" w:hAnsi="Arial" w:cs="Arial"/>
          <w:b/>
          <w:bCs/>
          <w:color w:val="000000"/>
          <w:kern w:val="2"/>
          <w:sz w:val="18"/>
          <w:szCs w:val="18"/>
          <w14:ligatures w14:val="standardContextual"/>
        </w:rPr>
        <w:t>2.</w:t>
      </w:r>
      <w:r w:rsidR="00553634">
        <w:rPr>
          <w:rFonts w:ascii="Arial" w:eastAsia="Aptos" w:hAnsi="Arial" w:cs="Arial"/>
          <w:b/>
          <w:bCs/>
          <w:color w:val="000000"/>
          <w:kern w:val="2"/>
          <w:sz w:val="18"/>
          <w:szCs w:val="18"/>
          <w14:ligatures w14:val="standardContextual"/>
        </w:rPr>
        <w:t xml:space="preserve"> </w:t>
      </w:r>
      <w:r w:rsidR="00553634" w:rsidRPr="00DD121A">
        <w:rPr>
          <w:rFonts w:ascii="Arial" w:eastAsia="Aptos" w:hAnsi="Arial" w:cs="Arial"/>
          <w:color w:val="000000"/>
          <w:kern w:val="2"/>
          <w:sz w:val="18"/>
          <w:szCs w:val="18"/>
          <w14:ligatures w14:val="standardContextual"/>
        </w:rPr>
        <w:t>Referenced with permission from the NCCN Clinical Practice Guidelines in Oncology (NCCN Guidelines</w:t>
      </w:r>
      <w:r w:rsidR="00553634" w:rsidRPr="00DD121A">
        <w:rPr>
          <w:rFonts w:ascii="Arial" w:eastAsia="Aptos" w:hAnsi="Arial" w:cs="Arial"/>
          <w:color w:val="000000"/>
          <w:kern w:val="2"/>
          <w:sz w:val="18"/>
          <w:szCs w:val="18"/>
          <w:vertAlign w:val="superscript"/>
          <w14:ligatures w14:val="standardContextual"/>
        </w:rPr>
        <w:t>®</w:t>
      </w:r>
      <w:r w:rsidR="00553634" w:rsidRPr="00DD121A">
        <w:rPr>
          <w:rFonts w:ascii="Arial" w:eastAsia="Aptos" w:hAnsi="Arial" w:cs="Arial"/>
          <w:color w:val="000000"/>
          <w:kern w:val="2"/>
          <w:sz w:val="18"/>
          <w:szCs w:val="18"/>
          <w14:ligatures w14:val="standardContextual"/>
        </w:rPr>
        <w:t xml:space="preserve">) for Central Nervous System Cancers V.5.2024. © National Comprehensive Cancer Network, Inc. 2025. All rights reserved. Accessed April </w:t>
      </w:r>
      <w:r w:rsidR="00553634">
        <w:rPr>
          <w:rFonts w:ascii="Arial" w:eastAsia="Aptos" w:hAnsi="Arial" w:cs="Arial"/>
          <w:color w:val="000000"/>
          <w:kern w:val="2"/>
          <w:sz w:val="18"/>
          <w:szCs w:val="18"/>
          <w14:ligatures w14:val="standardContextual"/>
        </w:rPr>
        <w:t>29</w:t>
      </w:r>
      <w:r w:rsidR="00553634" w:rsidRPr="00DD121A">
        <w:rPr>
          <w:rFonts w:ascii="Arial" w:eastAsia="Aptos" w:hAnsi="Arial" w:cs="Arial"/>
          <w:color w:val="000000"/>
          <w:kern w:val="2"/>
          <w:sz w:val="18"/>
          <w:szCs w:val="18"/>
          <w14:ligatures w14:val="standardContextual"/>
        </w:rPr>
        <w:t>, 2025. To view the most recent and complete version of the guideline, go online to NCCN.org. NCCN makes no warranties of any kind whatsoever regarding their content, use or application and disclaims any responsibility for their application or use in any way.</w:t>
      </w:r>
      <w:r w:rsidR="00553634">
        <w:rPr>
          <w:rFonts w:ascii="Arial" w:eastAsia="Aptos" w:hAnsi="Arial" w:cs="Arial"/>
          <w:color w:val="000000"/>
          <w:kern w:val="2"/>
          <w:sz w:val="18"/>
          <w:szCs w:val="18"/>
          <w14:ligatures w14:val="standardContextual"/>
        </w:rPr>
        <w:t xml:space="preserve"> </w:t>
      </w:r>
      <w:r w:rsidR="00553634">
        <w:rPr>
          <w:rFonts w:ascii="Arial" w:eastAsia="Aptos" w:hAnsi="Arial" w:cs="Arial"/>
          <w:b/>
          <w:bCs/>
          <w:color w:val="000000"/>
          <w:kern w:val="2"/>
          <w:sz w:val="18"/>
          <w:szCs w:val="18"/>
          <w14:ligatures w14:val="standardContextual"/>
        </w:rPr>
        <w:t>3.</w:t>
      </w:r>
      <w:r w:rsidR="005C1F9E" w:rsidRPr="00B00011">
        <w:rPr>
          <w:rFonts w:ascii="Arial" w:eastAsia="Aptos" w:hAnsi="Arial" w:cs="Arial"/>
          <w:b/>
          <w:bCs/>
          <w:color w:val="000000"/>
          <w:kern w:val="2"/>
          <w:sz w:val="18"/>
          <w:szCs w:val="18"/>
          <w14:ligatures w14:val="standardContextual"/>
        </w:rPr>
        <w:t xml:space="preserve"> </w:t>
      </w:r>
      <w:r w:rsidR="005C1F9E" w:rsidRPr="00B00011">
        <w:rPr>
          <w:rFonts w:ascii="Arial" w:eastAsia="Aptos" w:hAnsi="Arial" w:cs="Arial"/>
          <w:color w:val="000000"/>
          <w:kern w:val="2"/>
          <w:sz w:val="18"/>
          <w:szCs w:val="18"/>
          <w14:ligatures w14:val="standardContextual"/>
        </w:rPr>
        <w:t>SpringWorks Therapeutics. Accessed February 11, 2025. https://ir.springworkstx.com/news-releases/news-release-details/springworks-therapeutics-announces-fda-approval-gomeklitm</w:t>
      </w:r>
      <w:r w:rsidRPr="00B00011">
        <w:rPr>
          <w:rFonts w:ascii="Arial" w:hAnsi="Arial" w:cs="Arial"/>
          <w:color w:val="000000"/>
          <w:sz w:val="18"/>
          <w:szCs w:val="18"/>
        </w:rPr>
        <w:t xml:space="preserve"> </w:t>
      </w:r>
      <w:r w:rsidR="00553634">
        <w:rPr>
          <w:rFonts w:ascii="Arial" w:hAnsi="Arial" w:cs="Arial"/>
          <w:b/>
          <w:bCs/>
          <w:color w:val="000000"/>
          <w:sz w:val="18"/>
          <w:szCs w:val="18"/>
        </w:rPr>
        <w:t>4</w:t>
      </w:r>
      <w:r w:rsidR="0093567F" w:rsidRPr="00B00011">
        <w:rPr>
          <w:rFonts w:ascii="Arial" w:hAnsi="Arial" w:cs="Arial"/>
          <w:b/>
          <w:bCs/>
          <w:color w:val="000000"/>
          <w:sz w:val="18"/>
          <w:szCs w:val="18"/>
        </w:rPr>
        <w:t xml:space="preserve">. </w:t>
      </w:r>
      <w:r w:rsidR="0093567F" w:rsidRPr="00B00011">
        <w:rPr>
          <w:rFonts w:ascii="Arial" w:hAnsi="Arial" w:cs="Arial"/>
          <w:color w:val="000000"/>
          <w:sz w:val="18"/>
          <w:szCs w:val="18"/>
        </w:rPr>
        <w:t>Gutmann DH</w:t>
      </w:r>
      <w:r w:rsidR="0005292D">
        <w:rPr>
          <w:rFonts w:ascii="Arial" w:hAnsi="Arial" w:cs="Arial"/>
          <w:color w:val="000000"/>
          <w:sz w:val="18"/>
          <w:szCs w:val="18"/>
        </w:rPr>
        <w:t xml:space="preserve"> et al</w:t>
      </w:r>
      <w:r w:rsidR="0093567F" w:rsidRPr="00B00011">
        <w:rPr>
          <w:rFonts w:ascii="Arial" w:hAnsi="Arial" w:cs="Arial"/>
          <w:color w:val="000000"/>
          <w:sz w:val="18"/>
          <w:szCs w:val="18"/>
        </w:rPr>
        <w:t xml:space="preserve">. </w:t>
      </w:r>
      <w:r w:rsidR="0093567F" w:rsidRPr="00B00011">
        <w:rPr>
          <w:rFonts w:ascii="Arial" w:hAnsi="Arial" w:cs="Arial"/>
          <w:i/>
          <w:iCs/>
          <w:color w:val="000000"/>
          <w:sz w:val="18"/>
          <w:szCs w:val="18"/>
        </w:rPr>
        <w:t>Nat Rev Dis Primers</w:t>
      </w:r>
      <w:r w:rsidR="0093567F" w:rsidRPr="00B00011">
        <w:rPr>
          <w:rFonts w:ascii="Arial" w:hAnsi="Arial" w:cs="Arial"/>
          <w:color w:val="000000"/>
          <w:sz w:val="18"/>
          <w:szCs w:val="18"/>
        </w:rPr>
        <w:t xml:space="preserve">. 2017;3:170004. </w:t>
      </w:r>
      <w:r w:rsidR="00553634">
        <w:rPr>
          <w:rFonts w:ascii="Arial" w:hAnsi="Arial" w:cs="Arial"/>
          <w:b/>
          <w:bCs/>
          <w:color w:val="000000"/>
          <w:sz w:val="18"/>
          <w:szCs w:val="18"/>
        </w:rPr>
        <w:t>5</w:t>
      </w:r>
      <w:r w:rsidR="0093567F" w:rsidRPr="00B00011">
        <w:rPr>
          <w:rFonts w:ascii="Arial" w:hAnsi="Arial" w:cs="Arial"/>
          <w:b/>
          <w:bCs/>
          <w:color w:val="000000"/>
          <w:sz w:val="18"/>
          <w:szCs w:val="18"/>
        </w:rPr>
        <w:t xml:space="preserve">. </w:t>
      </w:r>
      <w:r w:rsidR="0093567F" w:rsidRPr="00B00011">
        <w:rPr>
          <w:rFonts w:ascii="Arial" w:hAnsi="Arial" w:cs="Arial"/>
          <w:color w:val="000000"/>
          <w:sz w:val="18"/>
          <w:szCs w:val="18"/>
        </w:rPr>
        <w:t>Prada CE</w:t>
      </w:r>
      <w:r w:rsidR="0005292D">
        <w:rPr>
          <w:rFonts w:ascii="Arial" w:hAnsi="Arial" w:cs="Arial"/>
          <w:color w:val="000000"/>
          <w:sz w:val="18"/>
          <w:szCs w:val="18"/>
        </w:rPr>
        <w:t xml:space="preserve"> </w:t>
      </w:r>
      <w:r w:rsidR="0093567F" w:rsidRPr="00B00011">
        <w:rPr>
          <w:rFonts w:ascii="Arial" w:hAnsi="Arial" w:cs="Arial"/>
          <w:color w:val="000000"/>
          <w:sz w:val="18"/>
          <w:szCs w:val="18"/>
        </w:rPr>
        <w:t xml:space="preserve">et al. </w:t>
      </w:r>
      <w:r w:rsidR="0093567F" w:rsidRPr="00B00011">
        <w:rPr>
          <w:rFonts w:ascii="Arial" w:hAnsi="Arial" w:cs="Arial"/>
          <w:i/>
          <w:iCs/>
          <w:color w:val="000000"/>
          <w:sz w:val="18"/>
          <w:szCs w:val="18"/>
        </w:rPr>
        <w:t>J Pediatr</w:t>
      </w:r>
      <w:r w:rsidR="0093567F" w:rsidRPr="00B00011">
        <w:rPr>
          <w:rFonts w:ascii="Arial" w:hAnsi="Arial" w:cs="Arial"/>
          <w:color w:val="000000"/>
          <w:sz w:val="18"/>
          <w:szCs w:val="18"/>
        </w:rPr>
        <w:t xml:space="preserve">. 2012;160(3):461-467. </w:t>
      </w:r>
      <w:r w:rsidR="00553634">
        <w:rPr>
          <w:rFonts w:ascii="Arial" w:hAnsi="Arial" w:cs="Arial"/>
          <w:b/>
          <w:bCs/>
          <w:sz w:val="18"/>
          <w:szCs w:val="18"/>
        </w:rPr>
        <w:t>6</w:t>
      </w:r>
      <w:r w:rsidR="00F57A28" w:rsidRPr="005C1F9E">
        <w:rPr>
          <w:rFonts w:ascii="Arial" w:hAnsi="Arial" w:cs="Arial"/>
          <w:b/>
          <w:bCs/>
          <w:sz w:val="18"/>
          <w:szCs w:val="18"/>
        </w:rPr>
        <w:t xml:space="preserve">. </w:t>
      </w:r>
      <w:r w:rsidR="00F57A28" w:rsidRPr="005C1F9E">
        <w:rPr>
          <w:rFonts w:ascii="Arial" w:hAnsi="Arial" w:cs="Arial"/>
          <w:sz w:val="18"/>
          <w:szCs w:val="18"/>
        </w:rPr>
        <w:t>Miller DT</w:t>
      </w:r>
      <w:r w:rsidR="0005292D">
        <w:rPr>
          <w:rFonts w:ascii="Arial" w:hAnsi="Arial" w:cs="Arial"/>
          <w:sz w:val="18"/>
          <w:szCs w:val="18"/>
        </w:rPr>
        <w:t xml:space="preserve"> et al</w:t>
      </w:r>
      <w:r w:rsidR="00F57A28" w:rsidRPr="005C1F9E">
        <w:rPr>
          <w:rFonts w:ascii="Arial" w:hAnsi="Arial" w:cs="Arial"/>
          <w:sz w:val="18"/>
          <w:szCs w:val="18"/>
        </w:rPr>
        <w:t xml:space="preserve">. </w:t>
      </w:r>
      <w:r w:rsidR="00F57A28" w:rsidRPr="005C1F9E">
        <w:rPr>
          <w:rFonts w:ascii="Arial" w:hAnsi="Arial" w:cs="Arial"/>
          <w:i/>
          <w:iCs/>
          <w:sz w:val="18"/>
          <w:szCs w:val="18"/>
        </w:rPr>
        <w:t>Pediatrics</w:t>
      </w:r>
      <w:r w:rsidR="00F57A28" w:rsidRPr="005C1F9E">
        <w:rPr>
          <w:rFonts w:ascii="Arial" w:hAnsi="Arial" w:cs="Arial"/>
          <w:sz w:val="18"/>
          <w:szCs w:val="18"/>
        </w:rPr>
        <w:t xml:space="preserve">. 2019;143(5):e20190660. </w:t>
      </w:r>
      <w:r w:rsidR="00553634">
        <w:rPr>
          <w:rFonts w:ascii="Arial" w:hAnsi="Arial" w:cs="Arial"/>
          <w:b/>
          <w:bCs/>
          <w:sz w:val="18"/>
          <w:szCs w:val="18"/>
        </w:rPr>
        <w:t>7</w:t>
      </w:r>
      <w:r w:rsidR="00F57A28" w:rsidRPr="005C1F9E">
        <w:rPr>
          <w:rFonts w:ascii="Arial" w:hAnsi="Arial" w:cs="Arial"/>
          <w:b/>
          <w:bCs/>
          <w:sz w:val="18"/>
          <w:szCs w:val="18"/>
        </w:rPr>
        <w:t xml:space="preserve">. </w:t>
      </w:r>
      <w:r w:rsidR="00F57A28" w:rsidRPr="005C1F9E">
        <w:rPr>
          <w:rFonts w:ascii="Arial" w:hAnsi="Arial" w:cs="Arial"/>
          <w:sz w:val="18"/>
          <w:szCs w:val="18"/>
        </w:rPr>
        <w:t>Centers for Medicare &amp; Medicaid Services. Accessed December 16, 2024. https://www.cms.gov/medicare-coverage-database/view/article.aspx?articleId=59125&amp;ver=26</w:t>
      </w:r>
      <w:r w:rsidR="00F57A28" w:rsidRPr="005C1F9E">
        <w:rPr>
          <w:rFonts w:ascii="Arial" w:hAnsi="Arial" w:cs="Arial"/>
          <w:b/>
          <w:bCs/>
          <w:sz w:val="18"/>
          <w:szCs w:val="18"/>
        </w:rPr>
        <w:t xml:space="preserve"> </w:t>
      </w:r>
      <w:r w:rsidR="00553634">
        <w:rPr>
          <w:rFonts w:ascii="Arial" w:hAnsi="Arial" w:cs="Arial"/>
          <w:b/>
          <w:bCs/>
          <w:color w:val="11322C" w:themeColor="background1"/>
          <w:sz w:val="18"/>
          <w:szCs w:val="18"/>
        </w:rPr>
        <w:t>8</w:t>
      </w:r>
      <w:r w:rsidR="00F57A28" w:rsidRPr="005C1F9E">
        <w:rPr>
          <w:rFonts w:ascii="Arial" w:hAnsi="Arial" w:cs="Arial"/>
          <w:b/>
          <w:bCs/>
          <w:color w:val="11322C" w:themeColor="background1"/>
          <w:sz w:val="18"/>
          <w:szCs w:val="18"/>
        </w:rPr>
        <w:t>.</w:t>
      </w:r>
      <w:r w:rsidR="00F57A28" w:rsidRPr="005C1F9E">
        <w:rPr>
          <w:rFonts w:ascii="Arial" w:hAnsi="Arial" w:cs="Arial"/>
          <w:color w:val="11322C" w:themeColor="background1"/>
          <w:sz w:val="18"/>
          <w:szCs w:val="18"/>
        </w:rPr>
        <w:t xml:space="preserve"> </w:t>
      </w:r>
      <w:r w:rsidR="00F57A28" w:rsidRPr="00D10096">
        <w:rPr>
          <w:rFonts w:ascii="Arial" w:hAnsi="Arial" w:cs="Arial"/>
          <w:color w:val="000000"/>
          <w:sz w:val="18"/>
          <w:szCs w:val="18"/>
        </w:rPr>
        <w:t xml:space="preserve">Centers for Medicare and Medicaid Services. Accessed </w:t>
      </w:r>
      <w:r w:rsidR="00CF5433">
        <w:rPr>
          <w:rFonts w:ascii="Arial" w:hAnsi="Arial" w:cs="Arial"/>
          <w:color w:val="000000"/>
          <w:sz w:val="18"/>
          <w:szCs w:val="18"/>
        </w:rPr>
        <w:t>May 8, 2025</w:t>
      </w:r>
      <w:r w:rsidR="00F57A28" w:rsidRPr="00D10096">
        <w:rPr>
          <w:rFonts w:ascii="Arial" w:hAnsi="Arial" w:cs="Arial"/>
          <w:color w:val="000000"/>
          <w:sz w:val="18"/>
          <w:szCs w:val="18"/>
        </w:rPr>
        <w:t>. https://www.cms.gov/files/zip/2024-code-tables-tabular-andindex-updated-02/01/2024.zip</w:t>
      </w:r>
      <w:r w:rsidR="00F57A28" w:rsidRPr="005C1F9E">
        <w:rPr>
          <w:rFonts w:ascii="Arial" w:hAnsi="Arial" w:cs="Arial"/>
          <w:color w:val="11322C" w:themeColor="background1"/>
          <w:sz w:val="18"/>
          <w:szCs w:val="18"/>
        </w:rPr>
        <w:t xml:space="preserve"> </w:t>
      </w:r>
      <w:r w:rsidR="00553634">
        <w:rPr>
          <w:rFonts w:ascii="Arial" w:hAnsi="Arial" w:cs="Arial"/>
          <w:b/>
          <w:bCs/>
          <w:sz w:val="18"/>
          <w:szCs w:val="18"/>
        </w:rPr>
        <w:t>9</w:t>
      </w:r>
      <w:r w:rsidR="00F57A28" w:rsidRPr="005C1F9E">
        <w:rPr>
          <w:rFonts w:ascii="Arial" w:hAnsi="Arial" w:cs="Arial"/>
          <w:b/>
          <w:bCs/>
          <w:sz w:val="18"/>
          <w:szCs w:val="18"/>
        </w:rPr>
        <w:t xml:space="preserve">. </w:t>
      </w:r>
      <w:r w:rsidR="00F57A28" w:rsidRPr="005C1F9E">
        <w:rPr>
          <w:rFonts w:ascii="Arial" w:hAnsi="Arial" w:cs="Arial"/>
          <w:sz w:val="18"/>
          <w:szCs w:val="18"/>
        </w:rPr>
        <w:t>Ejerskov C</w:t>
      </w:r>
      <w:r w:rsidR="0005292D">
        <w:rPr>
          <w:rFonts w:ascii="Arial" w:hAnsi="Arial" w:cs="Arial"/>
          <w:sz w:val="18"/>
          <w:szCs w:val="18"/>
        </w:rPr>
        <w:t xml:space="preserve"> </w:t>
      </w:r>
      <w:r w:rsidR="00F57A28" w:rsidRPr="005C1F9E">
        <w:rPr>
          <w:rFonts w:ascii="Arial" w:hAnsi="Arial" w:cs="Arial"/>
          <w:sz w:val="18"/>
          <w:szCs w:val="18"/>
        </w:rPr>
        <w:t xml:space="preserve">et al. </w:t>
      </w:r>
      <w:r w:rsidR="00F57A28" w:rsidRPr="005C1F9E">
        <w:rPr>
          <w:rFonts w:ascii="Arial" w:hAnsi="Arial" w:cs="Arial"/>
          <w:i/>
          <w:iCs/>
          <w:sz w:val="18"/>
          <w:szCs w:val="18"/>
        </w:rPr>
        <w:t>Oncol Ther</w:t>
      </w:r>
      <w:r w:rsidR="00F57A28" w:rsidRPr="005C1F9E">
        <w:rPr>
          <w:rFonts w:ascii="Arial" w:hAnsi="Arial" w:cs="Arial"/>
          <w:sz w:val="18"/>
          <w:szCs w:val="18"/>
        </w:rPr>
        <w:t xml:space="preserve">. 2023;11(1):97-110. </w:t>
      </w:r>
      <w:r w:rsidR="00553634">
        <w:rPr>
          <w:rFonts w:ascii="Arial" w:hAnsi="Arial" w:cs="Arial"/>
          <w:b/>
          <w:bCs/>
          <w:sz w:val="18"/>
          <w:szCs w:val="18"/>
        </w:rPr>
        <w:t>10</w:t>
      </w:r>
      <w:r w:rsidRPr="005C1F9E">
        <w:rPr>
          <w:rFonts w:ascii="Arial" w:hAnsi="Arial" w:cs="Arial"/>
          <w:b/>
          <w:bCs/>
          <w:sz w:val="18"/>
          <w:szCs w:val="18"/>
        </w:rPr>
        <w:t xml:space="preserve">. </w:t>
      </w:r>
      <w:r w:rsidRPr="005C1F9E">
        <w:rPr>
          <w:rFonts w:ascii="Arial" w:hAnsi="Arial" w:cs="Arial"/>
          <w:sz w:val="18"/>
          <w:szCs w:val="18"/>
        </w:rPr>
        <w:t>Lee T-SJ</w:t>
      </w:r>
      <w:r w:rsidR="0005292D">
        <w:rPr>
          <w:rFonts w:ascii="Arial" w:hAnsi="Arial" w:cs="Arial"/>
          <w:sz w:val="18"/>
          <w:szCs w:val="18"/>
        </w:rPr>
        <w:t xml:space="preserve"> et al</w:t>
      </w:r>
      <w:r w:rsidRPr="005C1F9E">
        <w:rPr>
          <w:rFonts w:ascii="Arial" w:hAnsi="Arial" w:cs="Arial"/>
          <w:sz w:val="18"/>
          <w:szCs w:val="18"/>
        </w:rPr>
        <w:t xml:space="preserve">. </w:t>
      </w:r>
      <w:r w:rsidRPr="005C1F9E">
        <w:rPr>
          <w:rFonts w:ascii="Arial" w:hAnsi="Arial" w:cs="Arial"/>
          <w:i/>
          <w:iCs/>
          <w:sz w:val="18"/>
          <w:szCs w:val="18"/>
        </w:rPr>
        <w:t>Orphanet J Rare Dis</w:t>
      </w:r>
      <w:r w:rsidRPr="005C1F9E">
        <w:rPr>
          <w:rFonts w:ascii="Arial" w:hAnsi="Arial" w:cs="Arial"/>
          <w:sz w:val="18"/>
          <w:szCs w:val="18"/>
        </w:rPr>
        <w:t xml:space="preserve">. 2023;18(1):292. </w:t>
      </w:r>
      <w:r w:rsidR="005C1F9E" w:rsidRPr="005C1F9E">
        <w:rPr>
          <w:rFonts w:ascii="Arial" w:hAnsi="Arial" w:cs="Arial"/>
          <w:b/>
          <w:bCs/>
          <w:sz w:val="18"/>
          <w:szCs w:val="18"/>
        </w:rPr>
        <w:t>1</w:t>
      </w:r>
      <w:r w:rsidR="00553634">
        <w:rPr>
          <w:rFonts w:ascii="Arial" w:hAnsi="Arial" w:cs="Arial"/>
          <w:b/>
          <w:bCs/>
          <w:sz w:val="18"/>
          <w:szCs w:val="18"/>
        </w:rPr>
        <w:t>1</w:t>
      </w:r>
      <w:r w:rsidRPr="005C1F9E">
        <w:rPr>
          <w:rFonts w:ascii="Arial" w:hAnsi="Arial" w:cs="Arial"/>
          <w:b/>
          <w:bCs/>
          <w:sz w:val="18"/>
          <w:szCs w:val="18"/>
        </w:rPr>
        <w:t xml:space="preserve">. </w:t>
      </w:r>
      <w:r w:rsidRPr="005C1F9E">
        <w:rPr>
          <w:rFonts w:ascii="Arial" w:hAnsi="Arial" w:cs="Arial"/>
          <w:sz w:val="18"/>
          <w:szCs w:val="18"/>
        </w:rPr>
        <w:t xml:space="preserve">Children’s Tumor Foundation. Accessed </w:t>
      </w:r>
      <w:r w:rsidR="00844897">
        <w:rPr>
          <w:rFonts w:ascii="Arial" w:hAnsi="Arial" w:cs="Arial"/>
          <w:sz w:val="18"/>
          <w:szCs w:val="18"/>
        </w:rPr>
        <w:t>May 8, 2025</w:t>
      </w:r>
      <w:r w:rsidRPr="005C1F9E">
        <w:rPr>
          <w:rFonts w:ascii="Arial" w:hAnsi="Arial" w:cs="Arial"/>
          <w:sz w:val="18"/>
          <w:szCs w:val="18"/>
        </w:rPr>
        <w:t>. https://www.ctf.org/news/new-and-improved-the-way-to-talk-about-nf/</w:t>
      </w:r>
      <w:r w:rsidRPr="005C1F9E">
        <w:rPr>
          <w:rFonts w:ascii="Arial" w:hAnsi="Arial" w:cs="Arial"/>
          <w:b/>
          <w:bCs/>
          <w:sz w:val="18"/>
          <w:szCs w:val="18"/>
        </w:rPr>
        <w:t xml:space="preserve"> </w:t>
      </w:r>
      <w:r w:rsidR="005C1F9E" w:rsidRPr="005C1F9E">
        <w:rPr>
          <w:rFonts w:ascii="Arial" w:hAnsi="Arial" w:cs="Arial"/>
          <w:b/>
          <w:bCs/>
          <w:sz w:val="18"/>
          <w:szCs w:val="18"/>
        </w:rPr>
        <w:t>1</w:t>
      </w:r>
      <w:r w:rsidR="00553634">
        <w:rPr>
          <w:rFonts w:ascii="Arial" w:hAnsi="Arial" w:cs="Arial"/>
          <w:b/>
          <w:bCs/>
          <w:sz w:val="18"/>
          <w:szCs w:val="18"/>
        </w:rPr>
        <w:t>2</w:t>
      </w:r>
      <w:r w:rsidR="00F57A28" w:rsidRPr="005C1F9E">
        <w:rPr>
          <w:rFonts w:ascii="Arial" w:hAnsi="Arial" w:cs="Arial"/>
          <w:b/>
          <w:bCs/>
          <w:sz w:val="18"/>
          <w:szCs w:val="18"/>
        </w:rPr>
        <w:t>.</w:t>
      </w:r>
      <w:r w:rsidR="00F57A28" w:rsidRPr="005C1F9E">
        <w:rPr>
          <w:rFonts w:ascii="Arial" w:hAnsi="Arial" w:cs="Arial"/>
          <w:sz w:val="18"/>
          <w:szCs w:val="18"/>
        </w:rPr>
        <w:t xml:space="preserve"> Darrigo LG Jr</w:t>
      </w:r>
      <w:r w:rsidR="0005292D">
        <w:rPr>
          <w:rFonts w:ascii="Arial" w:hAnsi="Arial" w:cs="Arial"/>
          <w:sz w:val="18"/>
          <w:szCs w:val="18"/>
        </w:rPr>
        <w:t xml:space="preserve"> </w:t>
      </w:r>
      <w:r w:rsidR="00F57A28" w:rsidRPr="005C1F9E">
        <w:rPr>
          <w:rFonts w:ascii="Arial" w:hAnsi="Arial" w:cs="Arial"/>
          <w:sz w:val="18"/>
          <w:szCs w:val="18"/>
        </w:rPr>
        <w:t xml:space="preserve">et al. </w:t>
      </w:r>
      <w:r w:rsidR="00F57A28" w:rsidRPr="005C1F9E">
        <w:rPr>
          <w:rFonts w:ascii="Arial" w:hAnsi="Arial" w:cs="Arial"/>
          <w:i/>
          <w:iCs/>
          <w:sz w:val="18"/>
          <w:szCs w:val="18"/>
        </w:rPr>
        <w:t>Brain Behav</w:t>
      </w:r>
      <w:r w:rsidR="00F57A28" w:rsidRPr="005C1F9E">
        <w:rPr>
          <w:rFonts w:ascii="Arial" w:hAnsi="Arial" w:cs="Arial"/>
          <w:sz w:val="18"/>
          <w:szCs w:val="18"/>
        </w:rPr>
        <w:t xml:space="preserve">. 2022;12(6):e2599. </w:t>
      </w:r>
      <w:r w:rsidR="005C1F9E" w:rsidRPr="005C1F9E">
        <w:rPr>
          <w:rFonts w:ascii="Arial" w:hAnsi="Arial" w:cs="Arial"/>
          <w:b/>
          <w:bCs/>
          <w:sz w:val="18"/>
          <w:szCs w:val="18"/>
        </w:rPr>
        <w:t>1</w:t>
      </w:r>
      <w:r w:rsidR="00553634">
        <w:rPr>
          <w:rFonts w:ascii="Arial" w:hAnsi="Arial" w:cs="Arial"/>
          <w:b/>
          <w:bCs/>
          <w:sz w:val="18"/>
          <w:szCs w:val="18"/>
        </w:rPr>
        <w:t>3</w:t>
      </w:r>
      <w:r w:rsidR="00F57A28" w:rsidRPr="005C1F9E">
        <w:rPr>
          <w:rFonts w:ascii="Arial" w:hAnsi="Arial" w:cs="Arial"/>
          <w:b/>
          <w:bCs/>
          <w:sz w:val="18"/>
          <w:szCs w:val="18"/>
        </w:rPr>
        <w:t xml:space="preserve">. </w:t>
      </w:r>
      <w:r w:rsidR="00F57A28" w:rsidRPr="005C1F9E">
        <w:rPr>
          <w:rFonts w:ascii="Arial" w:hAnsi="Arial" w:cs="Arial"/>
          <w:sz w:val="18"/>
          <w:szCs w:val="18"/>
        </w:rPr>
        <w:t xml:space="preserve">Higham CS et al. </w:t>
      </w:r>
      <w:r w:rsidR="00F57A28" w:rsidRPr="005C1F9E">
        <w:rPr>
          <w:rFonts w:ascii="Arial" w:hAnsi="Arial" w:cs="Arial"/>
          <w:i/>
          <w:iCs/>
          <w:sz w:val="18"/>
          <w:szCs w:val="18"/>
        </w:rPr>
        <w:t>Neuro Oncol</w:t>
      </w:r>
      <w:r w:rsidR="00F57A28" w:rsidRPr="005C1F9E">
        <w:rPr>
          <w:rFonts w:ascii="Arial" w:hAnsi="Arial" w:cs="Arial"/>
          <w:sz w:val="18"/>
          <w:szCs w:val="18"/>
        </w:rPr>
        <w:t xml:space="preserve">. 2018;20(6):818-825. </w:t>
      </w:r>
      <w:r w:rsidR="005C1F9E" w:rsidRPr="005C1F9E">
        <w:rPr>
          <w:rFonts w:ascii="Arial" w:hAnsi="Arial" w:cs="Arial"/>
          <w:b/>
          <w:bCs/>
          <w:sz w:val="18"/>
          <w:szCs w:val="18"/>
        </w:rPr>
        <w:t>1</w:t>
      </w:r>
      <w:r w:rsidR="00553634">
        <w:rPr>
          <w:rFonts w:ascii="Arial" w:hAnsi="Arial" w:cs="Arial"/>
          <w:b/>
          <w:bCs/>
          <w:sz w:val="18"/>
          <w:szCs w:val="18"/>
        </w:rPr>
        <w:t>4</w:t>
      </w:r>
      <w:r w:rsidR="00F57A28" w:rsidRPr="005C1F9E">
        <w:rPr>
          <w:rFonts w:ascii="Arial" w:hAnsi="Arial" w:cs="Arial"/>
          <w:b/>
          <w:bCs/>
          <w:sz w:val="18"/>
          <w:szCs w:val="18"/>
        </w:rPr>
        <w:t xml:space="preserve">. </w:t>
      </w:r>
      <w:r w:rsidR="00F57A28" w:rsidRPr="005C1F9E">
        <w:rPr>
          <w:rFonts w:ascii="Arial" w:hAnsi="Arial" w:cs="Arial"/>
          <w:sz w:val="18"/>
          <w:szCs w:val="18"/>
        </w:rPr>
        <w:t>Zehou O</w:t>
      </w:r>
      <w:r w:rsidR="0005292D">
        <w:rPr>
          <w:rFonts w:ascii="Arial" w:hAnsi="Arial" w:cs="Arial"/>
          <w:sz w:val="18"/>
          <w:szCs w:val="18"/>
        </w:rPr>
        <w:t xml:space="preserve"> </w:t>
      </w:r>
      <w:r w:rsidR="00F57A28" w:rsidRPr="005C1F9E">
        <w:rPr>
          <w:rFonts w:ascii="Arial" w:hAnsi="Arial" w:cs="Arial"/>
          <w:sz w:val="18"/>
          <w:szCs w:val="18"/>
        </w:rPr>
        <w:t xml:space="preserve">et al. </w:t>
      </w:r>
      <w:r w:rsidR="00F57A28" w:rsidRPr="005C1F9E">
        <w:rPr>
          <w:rFonts w:ascii="Arial" w:hAnsi="Arial" w:cs="Arial"/>
          <w:i/>
          <w:iCs/>
          <w:sz w:val="18"/>
          <w:szCs w:val="18"/>
        </w:rPr>
        <w:t>Orphanet J Rare Dis</w:t>
      </w:r>
      <w:r w:rsidR="00F57A28" w:rsidRPr="005C1F9E">
        <w:rPr>
          <w:rFonts w:ascii="Arial" w:hAnsi="Arial" w:cs="Arial"/>
          <w:sz w:val="18"/>
          <w:szCs w:val="18"/>
        </w:rPr>
        <w:t xml:space="preserve">. 2013;8:127. </w:t>
      </w:r>
    </w:p>
    <w:p w14:paraId="6583609D" w14:textId="77777777" w:rsidR="00F57A28" w:rsidRDefault="00F57A28" w:rsidP="00165A03">
      <w:pPr>
        <w:rPr>
          <w:rFonts w:ascii="Arial" w:hAnsi="Arial" w:cs="Arial"/>
          <w:b/>
          <w:bCs/>
          <w:sz w:val="18"/>
          <w:szCs w:val="18"/>
        </w:rPr>
      </w:pPr>
    </w:p>
    <w:p w14:paraId="1F59B84C" w14:textId="77777777" w:rsidR="00C411D2" w:rsidRDefault="00C411D2" w:rsidP="00165A03">
      <w:pPr>
        <w:rPr>
          <w:rFonts w:ascii="Arial" w:hAnsi="Arial" w:cs="Arial"/>
          <w:sz w:val="22"/>
          <w:szCs w:val="22"/>
        </w:rPr>
      </w:pPr>
    </w:p>
    <w:p w14:paraId="4010BCFC" w14:textId="77777777" w:rsidR="00413511" w:rsidRDefault="00165A03" w:rsidP="001F4E7B">
      <w:pPr>
        <w:rPr>
          <w:rFonts w:ascii="Arial" w:eastAsia="Aptos" w:hAnsi="Arial" w:cs="Arial"/>
          <w:kern w:val="2"/>
          <w:sz w:val="20"/>
          <w:szCs w:val="20"/>
          <w14:ligatures w14:val="standardContextual"/>
        </w:rPr>
      </w:pPr>
      <w:r w:rsidRPr="00B95690">
        <w:rPr>
          <w:rFonts w:ascii="Arial" w:eastAsia="Aptos" w:hAnsi="Arial" w:cs="Arial"/>
          <w:kern w:val="2"/>
          <w:sz w:val="20"/>
          <w:szCs w:val="20"/>
          <w14:ligatures w14:val="standardContextual"/>
        </w:rPr>
        <w:t>©</w:t>
      </w:r>
      <w:r w:rsidR="004B542D" w:rsidRPr="00B95690">
        <w:rPr>
          <w:rFonts w:ascii="Arial" w:eastAsia="Aptos" w:hAnsi="Arial" w:cs="Arial"/>
          <w:kern w:val="2"/>
          <w:sz w:val="20"/>
          <w:szCs w:val="20"/>
          <w14:ligatures w14:val="standardContextual"/>
        </w:rPr>
        <w:t xml:space="preserve"> 202</w:t>
      </w:r>
      <w:r w:rsidR="00943910" w:rsidRPr="00B95690">
        <w:rPr>
          <w:rFonts w:ascii="Arial" w:eastAsia="Aptos" w:hAnsi="Arial" w:cs="Arial"/>
          <w:kern w:val="2"/>
          <w:sz w:val="20"/>
          <w:szCs w:val="20"/>
          <w14:ligatures w14:val="standardContextual"/>
        </w:rPr>
        <w:t>5</w:t>
      </w:r>
      <w:r w:rsidRPr="00B95690">
        <w:rPr>
          <w:rFonts w:ascii="Arial" w:eastAsia="Aptos" w:hAnsi="Arial" w:cs="Arial"/>
          <w:kern w:val="2"/>
          <w:sz w:val="20"/>
          <w:szCs w:val="20"/>
          <w14:ligatures w14:val="standardContextual"/>
        </w:rPr>
        <w:t xml:space="preserve"> SpringWorks Therapeutics, Inc. All rights reserved. </w:t>
      </w:r>
    </w:p>
    <w:p w14:paraId="7B2075A2" w14:textId="388C58D4" w:rsidR="00413511" w:rsidRDefault="00413511" w:rsidP="001F4E7B">
      <w:pPr>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GOMEKLI is a trademark of SpringWorks Therapeutics, Inc.</w:t>
      </w:r>
    </w:p>
    <w:p w14:paraId="3F3CFD58" w14:textId="08C125A9" w:rsidR="008A70DC" w:rsidRPr="00B95690" w:rsidRDefault="00165A03" w:rsidP="001F4E7B">
      <w:pPr>
        <w:rPr>
          <w:rFonts w:ascii="Arial" w:eastAsia="Aptos" w:hAnsi="Arial" w:cs="Arial"/>
          <w:kern w:val="2"/>
          <w:sz w:val="20"/>
          <w:szCs w:val="20"/>
          <w14:ligatures w14:val="standardContextual"/>
        </w:rPr>
      </w:pPr>
      <w:r w:rsidRPr="00B95690">
        <w:rPr>
          <w:rFonts w:ascii="Arial" w:eastAsia="Aptos" w:hAnsi="Arial" w:cs="Arial"/>
          <w:color w:val="000000"/>
          <w:kern w:val="2"/>
          <w:sz w:val="20"/>
          <w:szCs w:val="20"/>
          <w14:ligatures w14:val="standardContextual"/>
        </w:rPr>
        <w:t>C_</w:t>
      </w:r>
      <w:r w:rsidR="00943910" w:rsidRPr="00B95690">
        <w:rPr>
          <w:rFonts w:ascii="Arial" w:eastAsia="Aptos" w:hAnsi="Arial" w:cs="Arial"/>
          <w:color w:val="000000"/>
          <w:kern w:val="2"/>
          <w:sz w:val="20"/>
          <w:szCs w:val="20"/>
          <w14:ligatures w14:val="standardContextual"/>
        </w:rPr>
        <w:t>GOM</w:t>
      </w:r>
      <w:r w:rsidRPr="00B95690">
        <w:rPr>
          <w:rFonts w:ascii="Arial" w:eastAsia="Aptos" w:hAnsi="Arial" w:cs="Arial"/>
          <w:color w:val="000000"/>
          <w:kern w:val="2"/>
          <w:sz w:val="20"/>
          <w:szCs w:val="20"/>
          <w14:ligatures w14:val="standardContextual"/>
        </w:rPr>
        <w:t>_US_</w:t>
      </w:r>
      <w:r w:rsidR="0080629F">
        <w:rPr>
          <w:rFonts w:ascii="Arial" w:eastAsia="Aptos" w:hAnsi="Arial" w:cs="Arial"/>
          <w:color w:val="000000"/>
          <w:kern w:val="2"/>
          <w:sz w:val="20"/>
          <w:szCs w:val="20"/>
          <w14:ligatures w14:val="standardContextual"/>
        </w:rPr>
        <w:t>0015</w:t>
      </w:r>
      <w:r w:rsidRPr="00B95690">
        <w:rPr>
          <w:rFonts w:ascii="Arial" w:eastAsia="Aptos" w:hAnsi="Arial" w:cs="Arial"/>
          <w:color w:val="000000"/>
          <w:kern w:val="2"/>
          <w:sz w:val="20"/>
          <w:szCs w:val="20"/>
          <w14:ligatures w14:val="standardContextual"/>
        </w:rPr>
        <w:t xml:space="preserve"> </w:t>
      </w:r>
      <w:r w:rsidR="00413511">
        <w:rPr>
          <w:rFonts w:ascii="Arial" w:eastAsia="Aptos" w:hAnsi="Arial" w:cs="Arial"/>
          <w:color w:val="11322C" w:themeColor="background1"/>
          <w:kern w:val="2"/>
          <w:sz w:val="20"/>
          <w:szCs w:val="20"/>
          <w14:ligatures w14:val="standardContextual"/>
        </w:rPr>
        <w:t>0</w:t>
      </w:r>
      <w:r w:rsidR="00553634">
        <w:rPr>
          <w:rFonts w:ascii="Arial" w:eastAsia="Aptos" w:hAnsi="Arial" w:cs="Arial"/>
          <w:color w:val="11322C" w:themeColor="background1"/>
          <w:kern w:val="2"/>
          <w:sz w:val="20"/>
          <w:szCs w:val="20"/>
          <w14:ligatures w14:val="standardContextual"/>
        </w:rPr>
        <w:t>5</w:t>
      </w:r>
      <w:r w:rsidRPr="00B95690">
        <w:rPr>
          <w:rFonts w:ascii="Arial" w:eastAsia="Aptos" w:hAnsi="Arial" w:cs="Arial"/>
          <w:kern w:val="2"/>
          <w:sz w:val="20"/>
          <w:szCs w:val="20"/>
          <w14:ligatures w14:val="standardContextual"/>
        </w:rPr>
        <w:t>/2</w:t>
      </w:r>
      <w:r w:rsidR="00943910" w:rsidRPr="00B95690">
        <w:rPr>
          <w:rFonts w:ascii="Arial" w:eastAsia="Aptos" w:hAnsi="Arial" w:cs="Arial"/>
          <w:kern w:val="2"/>
          <w:sz w:val="20"/>
          <w:szCs w:val="20"/>
          <w14:ligatures w14:val="standardContextual"/>
        </w:rPr>
        <w:t>5</w:t>
      </w:r>
    </w:p>
    <w:sectPr w:rsidR="008A70DC" w:rsidRPr="00B95690" w:rsidSect="00811636">
      <w:headerReference w:type="default" r:id="rId10"/>
      <w:pgSz w:w="12240" w:h="15840"/>
      <w:pgMar w:top="864" w:right="864" w:bottom="806" w:left="864"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5B26" w14:textId="77777777" w:rsidR="00021FFD" w:rsidRDefault="00021FFD" w:rsidP="00B712E1">
      <w:r>
        <w:separator/>
      </w:r>
    </w:p>
  </w:endnote>
  <w:endnote w:type="continuationSeparator" w:id="0">
    <w:p w14:paraId="58DA85C7" w14:textId="77777777" w:rsidR="00021FFD" w:rsidRDefault="00021FFD" w:rsidP="00B7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20B0604020202020204"/>
    <w:charset w:val="00"/>
    <w:family w:val="auto"/>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37D1" w14:textId="77777777" w:rsidR="00021FFD" w:rsidRDefault="00021FFD" w:rsidP="00B712E1">
      <w:r>
        <w:separator/>
      </w:r>
    </w:p>
  </w:footnote>
  <w:footnote w:type="continuationSeparator" w:id="0">
    <w:p w14:paraId="6D97D78F" w14:textId="77777777" w:rsidR="00021FFD" w:rsidRDefault="00021FFD" w:rsidP="00B7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0E9C" w14:textId="77777777" w:rsidR="00B712E1" w:rsidRDefault="00B712E1" w:rsidP="00960941">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2F"/>
    <w:multiLevelType w:val="hybridMultilevel"/>
    <w:tmpl w:val="E594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2C4C"/>
    <w:multiLevelType w:val="hybridMultilevel"/>
    <w:tmpl w:val="DF1A879E"/>
    <w:lvl w:ilvl="0" w:tplc="A7421C66">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C5173"/>
    <w:multiLevelType w:val="hybridMultilevel"/>
    <w:tmpl w:val="8D8CCB4A"/>
    <w:lvl w:ilvl="0" w:tplc="E4983E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B460A"/>
    <w:multiLevelType w:val="hybridMultilevel"/>
    <w:tmpl w:val="868E9AE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3F77761E"/>
    <w:multiLevelType w:val="hybridMultilevel"/>
    <w:tmpl w:val="28C8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70EEA"/>
    <w:multiLevelType w:val="hybridMultilevel"/>
    <w:tmpl w:val="299240D8"/>
    <w:lvl w:ilvl="0" w:tplc="345E69F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8714F"/>
    <w:multiLevelType w:val="hybridMultilevel"/>
    <w:tmpl w:val="67BE464E"/>
    <w:lvl w:ilvl="0" w:tplc="A7421C66">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17B7E"/>
    <w:multiLevelType w:val="hybridMultilevel"/>
    <w:tmpl w:val="C006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604B1"/>
    <w:multiLevelType w:val="hybridMultilevel"/>
    <w:tmpl w:val="5CEC5D32"/>
    <w:lvl w:ilvl="0" w:tplc="2B1AC7D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9151869">
    <w:abstractNumId w:val="5"/>
  </w:num>
  <w:num w:numId="2" w16cid:durableId="1285771385">
    <w:abstractNumId w:val="7"/>
  </w:num>
  <w:num w:numId="3" w16cid:durableId="1396833">
    <w:abstractNumId w:val="2"/>
  </w:num>
  <w:num w:numId="4" w16cid:durableId="1910378952">
    <w:abstractNumId w:val="1"/>
  </w:num>
  <w:num w:numId="5" w16cid:durableId="1648707095">
    <w:abstractNumId w:val="6"/>
  </w:num>
  <w:num w:numId="6" w16cid:durableId="1934700228">
    <w:abstractNumId w:val="4"/>
  </w:num>
  <w:num w:numId="7" w16cid:durableId="1882863453">
    <w:abstractNumId w:val="3"/>
  </w:num>
  <w:num w:numId="8" w16cid:durableId="172575528">
    <w:abstractNumId w:val="8"/>
  </w:num>
  <w:num w:numId="9" w16cid:durableId="27460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E1"/>
    <w:rsid w:val="000102FA"/>
    <w:rsid w:val="00011699"/>
    <w:rsid w:val="0001204D"/>
    <w:rsid w:val="00021FFD"/>
    <w:rsid w:val="000264A7"/>
    <w:rsid w:val="000353AC"/>
    <w:rsid w:val="0005292D"/>
    <w:rsid w:val="00057A6E"/>
    <w:rsid w:val="0006645A"/>
    <w:rsid w:val="000833B0"/>
    <w:rsid w:val="00090E08"/>
    <w:rsid w:val="000A5CEA"/>
    <w:rsid w:val="000B4436"/>
    <w:rsid w:val="000B6758"/>
    <w:rsid w:val="000B76B5"/>
    <w:rsid w:val="000B799B"/>
    <w:rsid w:val="000C4A7F"/>
    <w:rsid w:val="000C4DAC"/>
    <w:rsid w:val="000E5259"/>
    <w:rsid w:val="000F513E"/>
    <w:rsid w:val="00112952"/>
    <w:rsid w:val="00113832"/>
    <w:rsid w:val="00121BF1"/>
    <w:rsid w:val="00154ABB"/>
    <w:rsid w:val="00165A03"/>
    <w:rsid w:val="00166F6C"/>
    <w:rsid w:val="00181929"/>
    <w:rsid w:val="0018793D"/>
    <w:rsid w:val="001A6B79"/>
    <w:rsid w:val="001B09C0"/>
    <w:rsid w:val="001B327C"/>
    <w:rsid w:val="001B65F1"/>
    <w:rsid w:val="001C021B"/>
    <w:rsid w:val="001C74B5"/>
    <w:rsid w:val="001D7354"/>
    <w:rsid w:val="001F3EF8"/>
    <w:rsid w:val="001F4E7B"/>
    <w:rsid w:val="00225032"/>
    <w:rsid w:val="0024586C"/>
    <w:rsid w:val="0025353B"/>
    <w:rsid w:val="00257044"/>
    <w:rsid w:val="002A1725"/>
    <w:rsid w:val="002A2767"/>
    <w:rsid w:val="002C56BF"/>
    <w:rsid w:val="002D7F45"/>
    <w:rsid w:val="002E399F"/>
    <w:rsid w:val="002F2AED"/>
    <w:rsid w:val="002F5888"/>
    <w:rsid w:val="00300CC3"/>
    <w:rsid w:val="00301CF2"/>
    <w:rsid w:val="00322B60"/>
    <w:rsid w:val="0034767A"/>
    <w:rsid w:val="00356DE8"/>
    <w:rsid w:val="00366ED9"/>
    <w:rsid w:val="00375C7E"/>
    <w:rsid w:val="003932FC"/>
    <w:rsid w:val="003A1F12"/>
    <w:rsid w:val="003B7C22"/>
    <w:rsid w:val="003F4A27"/>
    <w:rsid w:val="003F537C"/>
    <w:rsid w:val="004118C6"/>
    <w:rsid w:val="00413511"/>
    <w:rsid w:val="004315DC"/>
    <w:rsid w:val="0045619E"/>
    <w:rsid w:val="00460E3B"/>
    <w:rsid w:val="00470456"/>
    <w:rsid w:val="00480E45"/>
    <w:rsid w:val="00490830"/>
    <w:rsid w:val="0049145B"/>
    <w:rsid w:val="004B1D2E"/>
    <w:rsid w:val="004B542D"/>
    <w:rsid w:val="004B693C"/>
    <w:rsid w:val="004C571E"/>
    <w:rsid w:val="004D36A7"/>
    <w:rsid w:val="004D5E3D"/>
    <w:rsid w:val="004E2F38"/>
    <w:rsid w:val="004F1264"/>
    <w:rsid w:val="0050273B"/>
    <w:rsid w:val="0051338C"/>
    <w:rsid w:val="005133BB"/>
    <w:rsid w:val="0051668C"/>
    <w:rsid w:val="005235DB"/>
    <w:rsid w:val="0052587E"/>
    <w:rsid w:val="0053054F"/>
    <w:rsid w:val="00553634"/>
    <w:rsid w:val="0055528F"/>
    <w:rsid w:val="0059454B"/>
    <w:rsid w:val="00597F1D"/>
    <w:rsid w:val="005A589B"/>
    <w:rsid w:val="005B2C6B"/>
    <w:rsid w:val="005B3DD7"/>
    <w:rsid w:val="005C1F9E"/>
    <w:rsid w:val="005C40DE"/>
    <w:rsid w:val="005E3D62"/>
    <w:rsid w:val="005E6CDE"/>
    <w:rsid w:val="005F5099"/>
    <w:rsid w:val="005F53AD"/>
    <w:rsid w:val="00602980"/>
    <w:rsid w:val="00603A09"/>
    <w:rsid w:val="00612EAE"/>
    <w:rsid w:val="00645B84"/>
    <w:rsid w:val="00646B12"/>
    <w:rsid w:val="006532D1"/>
    <w:rsid w:val="00654C42"/>
    <w:rsid w:val="00680313"/>
    <w:rsid w:val="00680F22"/>
    <w:rsid w:val="0068107E"/>
    <w:rsid w:val="00691012"/>
    <w:rsid w:val="0069160B"/>
    <w:rsid w:val="006A2122"/>
    <w:rsid w:val="006B11C9"/>
    <w:rsid w:val="006C4B01"/>
    <w:rsid w:val="006D1B8A"/>
    <w:rsid w:val="006E38D3"/>
    <w:rsid w:val="00700C8D"/>
    <w:rsid w:val="00710FEC"/>
    <w:rsid w:val="007155AF"/>
    <w:rsid w:val="00727DEF"/>
    <w:rsid w:val="00750F9B"/>
    <w:rsid w:val="00773340"/>
    <w:rsid w:val="00782375"/>
    <w:rsid w:val="00793FD9"/>
    <w:rsid w:val="007957DC"/>
    <w:rsid w:val="00797B26"/>
    <w:rsid w:val="007A6F51"/>
    <w:rsid w:val="007C7C04"/>
    <w:rsid w:val="007D3530"/>
    <w:rsid w:val="007D378B"/>
    <w:rsid w:val="007E1E85"/>
    <w:rsid w:val="007E4C2A"/>
    <w:rsid w:val="007F7469"/>
    <w:rsid w:val="0080629F"/>
    <w:rsid w:val="0081021A"/>
    <w:rsid w:val="00811636"/>
    <w:rsid w:val="00823761"/>
    <w:rsid w:val="00826468"/>
    <w:rsid w:val="00844897"/>
    <w:rsid w:val="008653CE"/>
    <w:rsid w:val="00866EEA"/>
    <w:rsid w:val="00867A2E"/>
    <w:rsid w:val="008806EA"/>
    <w:rsid w:val="008922AD"/>
    <w:rsid w:val="008A403A"/>
    <w:rsid w:val="008A70DC"/>
    <w:rsid w:val="008B5AD8"/>
    <w:rsid w:val="008C21DC"/>
    <w:rsid w:val="008F0B69"/>
    <w:rsid w:val="008F27AA"/>
    <w:rsid w:val="008F3044"/>
    <w:rsid w:val="0091206B"/>
    <w:rsid w:val="00915521"/>
    <w:rsid w:val="00925FBE"/>
    <w:rsid w:val="00927313"/>
    <w:rsid w:val="0093567F"/>
    <w:rsid w:val="00937509"/>
    <w:rsid w:val="00943910"/>
    <w:rsid w:val="00960941"/>
    <w:rsid w:val="00973DF7"/>
    <w:rsid w:val="009A1F7E"/>
    <w:rsid w:val="009B226D"/>
    <w:rsid w:val="009C5504"/>
    <w:rsid w:val="009C6711"/>
    <w:rsid w:val="009D4B83"/>
    <w:rsid w:val="009E4F4D"/>
    <w:rsid w:val="00A5652F"/>
    <w:rsid w:val="00A63599"/>
    <w:rsid w:val="00A672C3"/>
    <w:rsid w:val="00A67CF1"/>
    <w:rsid w:val="00A95539"/>
    <w:rsid w:val="00AA2419"/>
    <w:rsid w:val="00AC056B"/>
    <w:rsid w:val="00AC0E82"/>
    <w:rsid w:val="00AC3E1B"/>
    <w:rsid w:val="00AD470F"/>
    <w:rsid w:val="00AD7CAF"/>
    <w:rsid w:val="00AE0B69"/>
    <w:rsid w:val="00B00011"/>
    <w:rsid w:val="00B02DF5"/>
    <w:rsid w:val="00B25DBF"/>
    <w:rsid w:val="00B4663F"/>
    <w:rsid w:val="00B5290C"/>
    <w:rsid w:val="00B712E1"/>
    <w:rsid w:val="00B847B8"/>
    <w:rsid w:val="00B86315"/>
    <w:rsid w:val="00B910D3"/>
    <w:rsid w:val="00B9335E"/>
    <w:rsid w:val="00B95690"/>
    <w:rsid w:val="00BE0D59"/>
    <w:rsid w:val="00BF1732"/>
    <w:rsid w:val="00BF268F"/>
    <w:rsid w:val="00C078BF"/>
    <w:rsid w:val="00C411D2"/>
    <w:rsid w:val="00C50561"/>
    <w:rsid w:val="00C6551E"/>
    <w:rsid w:val="00C8061D"/>
    <w:rsid w:val="00CA032D"/>
    <w:rsid w:val="00CB4C75"/>
    <w:rsid w:val="00CC0B09"/>
    <w:rsid w:val="00CC48E2"/>
    <w:rsid w:val="00CD3EF5"/>
    <w:rsid w:val="00CD6104"/>
    <w:rsid w:val="00CF1B7B"/>
    <w:rsid w:val="00CF2EF6"/>
    <w:rsid w:val="00CF30F9"/>
    <w:rsid w:val="00CF5433"/>
    <w:rsid w:val="00D0486A"/>
    <w:rsid w:val="00D06A13"/>
    <w:rsid w:val="00D10096"/>
    <w:rsid w:val="00D227E6"/>
    <w:rsid w:val="00D22A50"/>
    <w:rsid w:val="00D22DB9"/>
    <w:rsid w:val="00D314EB"/>
    <w:rsid w:val="00D33925"/>
    <w:rsid w:val="00D522AA"/>
    <w:rsid w:val="00D6537E"/>
    <w:rsid w:val="00D83D61"/>
    <w:rsid w:val="00D9460E"/>
    <w:rsid w:val="00DA45A7"/>
    <w:rsid w:val="00DB772D"/>
    <w:rsid w:val="00DC338F"/>
    <w:rsid w:val="00DD121A"/>
    <w:rsid w:val="00DE557A"/>
    <w:rsid w:val="00DE6927"/>
    <w:rsid w:val="00DF66E5"/>
    <w:rsid w:val="00E01AA2"/>
    <w:rsid w:val="00E06388"/>
    <w:rsid w:val="00E108E8"/>
    <w:rsid w:val="00E24243"/>
    <w:rsid w:val="00E3041D"/>
    <w:rsid w:val="00E33D57"/>
    <w:rsid w:val="00E4475C"/>
    <w:rsid w:val="00E52ED2"/>
    <w:rsid w:val="00E63BD6"/>
    <w:rsid w:val="00E90004"/>
    <w:rsid w:val="00E90852"/>
    <w:rsid w:val="00EA059A"/>
    <w:rsid w:val="00EA4FE5"/>
    <w:rsid w:val="00EB37B1"/>
    <w:rsid w:val="00EB6B6B"/>
    <w:rsid w:val="00EE5B2B"/>
    <w:rsid w:val="00F34AEF"/>
    <w:rsid w:val="00F57A28"/>
    <w:rsid w:val="00F63509"/>
    <w:rsid w:val="00F6603D"/>
    <w:rsid w:val="00F73D9E"/>
    <w:rsid w:val="00F76F98"/>
    <w:rsid w:val="00F97942"/>
    <w:rsid w:val="00FA1B40"/>
    <w:rsid w:val="00FA202B"/>
    <w:rsid w:val="00FA38DE"/>
    <w:rsid w:val="00FC306B"/>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57EA2"/>
  <w15:docId w15:val="{E9181A5E-9880-E940-B954-F50876B3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0F9"/>
    <w:pPr>
      <w:keepNext/>
      <w:keepLines/>
      <w:spacing w:before="240"/>
      <w:outlineLvl w:val="0"/>
    </w:pPr>
    <w:rPr>
      <w:rFonts w:ascii="Arial" w:eastAsiaTheme="majorEastAsia" w:hAnsi="Arial" w:cstheme="majorBidi"/>
      <w:b/>
      <w:color w:val="00A0AC" w:themeColor="accent1"/>
      <w:sz w:val="28"/>
      <w:szCs w:val="32"/>
    </w:rPr>
  </w:style>
  <w:style w:type="paragraph" w:styleId="Heading2">
    <w:name w:val="heading 2"/>
    <w:basedOn w:val="Normal"/>
    <w:next w:val="Normal"/>
    <w:link w:val="Heading2Char"/>
    <w:uiPriority w:val="9"/>
    <w:unhideWhenUsed/>
    <w:qFormat/>
    <w:rsid w:val="00CF30F9"/>
    <w:pPr>
      <w:keepNext/>
      <w:keepLines/>
      <w:spacing w:before="40"/>
      <w:outlineLvl w:val="1"/>
    </w:pPr>
    <w:rPr>
      <w:rFonts w:ascii="Arial" w:eastAsiaTheme="majorEastAsia" w:hAnsi="Arial" w:cstheme="majorBidi"/>
      <w:b/>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2E1"/>
    <w:pPr>
      <w:tabs>
        <w:tab w:val="center" w:pos="4680"/>
        <w:tab w:val="right" w:pos="9360"/>
      </w:tabs>
    </w:pPr>
  </w:style>
  <w:style w:type="character" w:customStyle="1" w:styleId="HeaderChar">
    <w:name w:val="Header Char"/>
    <w:basedOn w:val="DefaultParagraphFont"/>
    <w:link w:val="Header"/>
    <w:uiPriority w:val="99"/>
    <w:rsid w:val="00B712E1"/>
  </w:style>
  <w:style w:type="paragraph" w:styleId="Footer">
    <w:name w:val="footer"/>
    <w:basedOn w:val="Normal"/>
    <w:link w:val="FooterChar"/>
    <w:uiPriority w:val="99"/>
    <w:unhideWhenUsed/>
    <w:rsid w:val="00B712E1"/>
    <w:pPr>
      <w:tabs>
        <w:tab w:val="center" w:pos="4680"/>
        <w:tab w:val="right" w:pos="9360"/>
      </w:tabs>
    </w:pPr>
  </w:style>
  <w:style w:type="character" w:customStyle="1" w:styleId="FooterChar">
    <w:name w:val="Footer Char"/>
    <w:basedOn w:val="DefaultParagraphFont"/>
    <w:link w:val="Footer"/>
    <w:uiPriority w:val="99"/>
    <w:rsid w:val="00B712E1"/>
  </w:style>
  <w:style w:type="paragraph" w:customStyle="1" w:styleId="SpringWorksText">
    <w:name w:val="SpringWorks Text"/>
    <w:basedOn w:val="Normal"/>
    <w:uiPriority w:val="99"/>
    <w:rsid w:val="00CF30F9"/>
    <w:pPr>
      <w:autoSpaceDE w:val="0"/>
      <w:autoSpaceDN w:val="0"/>
      <w:adjustRightInd w:val="0"/>
      <w:spacing w:line="360" w:lineRule="auto"/>
      <w:textAlignment w:val="center"/>
    </w:pPr>
    <w:rPr>
      <w:rFonts w:ascii="Arial" w:hAnsi="Arial" w:cs="Minion Pro"/>
      <w:color w:val="000000"/>
      <w:sz w:val="20"/>
    </w:rPr>
  </w:style>
  <w:style w:type="character" w:customStyle="1" w:styleId="Heading1Char">
    <w:name w:val="Heading 1 Char"/>
    <w:basedOn w:val="DefaultParagraphFont"/>
    <w:link w:val="Heading1"/>
    <w:uiPriority w:val="9"/>
    <w:rsid w:val="00CF30F9"/>
    <w:rPr>
      <w:rFonts w:ascii="Arial" w:eastAsiaTheme="majorEastAsia" w:hAnsi="Arial" w:cstheme="majorBidi"/>
      <w:b/>
      <w:color w:val="00A0AC" w:themeColor="accent1"/>
      <w:sz w:val="28"/>
      <w:szCs w:val="32"/>
    </w:rPr>
  </w:style>
  <w:style w:type="character" w:customStyle="1" w:styleId="Heading2Char">
    <w:name w:val="Heading 2 Char"/>
    <w:basedOn w:val="DefaultParagraphFont"/>
    <w:link w:val="Heading2"/>
    <w:uiPriority w:val="9"/>
    <w:rsid w:val="00CF30F9"/>
    <w:rPr>
      <w:rFonts w:ascii="Arial" w:eastAsiaTheme="majorEastAsia" w:hAnsi="Arial" w:cstheme="majorBidi"/>
      <w:b/>
      <w:sz w:val="21"/>
      <w:szCs w:val="26"/>
    </w:rPr>
  </w:style>
  <w:style w:type="paragraph" w:styleId="ListParagraph">
    <w:name w:val="List Paragraph"/>
    <w:basedOn w:val="Normal"/>
    <w:uiPriority w:val="34"/>
    <w:qFormat/>
    <w:rsid w:val="00165A03"/>
    <w:pPr>
      <w:ind w:left="720"/>
      <w:contextualSpacing/>
    </w:pPr>
    <w:rPr>
      <w:kern w:val="2"/>
      <w14:ligatures w14:val="standardContextual"/>
    </w:rPr>
  </w:style>
  <w:style w:type="paragraph" w:styleId="Revision">
    <w:name w:val="Revision"/>
    <w:hidden/>
    <w:uiPriority w:val="99"/>
    <w:semiHidden/>
    <w:rsid w:val="006E38D3"/>
  </w:style>
  <w:style w:type="character" w:styleId="CommentReference">
    <w:name w:val="annotation reference"/>
    <w:basedOn w:val="DefaultParagraphFont"/>
    <w:uiPriority w:val="99"/>
    <w:semiHidden/>
    <w:unhideWhenUsed/>
    <w:rsid w:val="004118C6"/>
    <w:rPr>
      <w:sz w:val="16"/>
      <w:szCs w:val="16"/>
    </w:rPr>
  </w:style>
  <w:style w:type="paragraph" w:styleId="CommentText">
    <w:name w:val="annotation text"/>
    <w:basedOn w:val="Normal"/>
    <w:link w:val="CommentTextChar"/>
    <w:uiPriority w:val="99"/>
    <w:unhideWhenUsed/>
    <w:rsid w:val="004118C6"/>
    <w:rPr>
      <w:sz w:val="20"/>
      <w:szCs w:val="20"/>
    </w:rPr>
  </w:style>
  <w:style w:type="character" w:customStyle="1" w:styleId="CommentTextChar">
    <w:name w:val="Comment Text Char"/>
    <w:basedOn w:val="DefaultParagraphFont"/>
    <w:link w:val="CommentText"/>
    <w:uiPriority w:val="99"/>
    <w:rsid w:val="004118C6"/>
    <w:rPr>
      <w:sz w:val="20"/>
      <w:szCs w:val="20"/>
    </w:rPr>
  </w:style>
  <w:style w:type="paragraph" w:styleId="CommentSubject">
    <w:name w:val="annotation subject"/>
    <w:basedOn w:val="CommentText"/>
    <w:next w:val="CommentText"/>
    <w:link w:val="CommentSubjectChar"/>
    <w:uiPriority w:val="99"/>
    <w:semiHidden/>
    <w:unhideWhenUsed/>
    <w:rsid w:val="004118C6"/>
    <w:rPr>
      <w:b/>
      <w:bCs/>
    </w:rPr>
  </w:style>
  <w:style w:type="character" w:customStyle="1" w:styleId="CommentSubjectChar">
    <w:name w:val="Comment Subject Char"/>
    <w:basedOn w:val="CommentTextChar"/>
    <w:link w:val="CommentSubject"/>
    <w:uiPriority w:val="99"/>
    <w:semiHidden/>
    <w:rsid w:val="004118C6"/>
    <w:rPr>
      <w:b/>
      <w:bCs/>
      <w:sz w:val="20"/>
      <w:szCs w:val="20"/>
    </w:rPr>
  </w:style>
  <w:style w:type="character" w:styleId="Hyperlink">
    <w:name w:val="Hyperlink"/>
    <w:basedOn w:val="DefaultParagraphFont"/>
    <w:uiPriority w:val="99"/>
    <w:unhideWhenUsed/>
    <w:rsid w:val="00F57A28"/>
    <w:rPr>
      <w:color w:val="407EC9" w:themeColor="hyperlink"/>
      <w:u w:val="single"/>
    </w:rPr>
  </w:style>
  <w:style w:type="character" w:styleId="UnresolvedMention">
    <w:name w:val="Unresolved Mention"/>
    <w:basedOn w:val="DefaultParagraphFont"/>
    <w:uiPriority w:val="99"/>
    <w:semiHidden/>
    <w:unhideWhenUsed/>
    <w:rsid w:val="00F57A28"/>
    <w:rPr>
      <w:color w:val="605E5C"/>
      <w:shd w:val="clear" w:color="auto" w:fill="E1DFDD"/>
    </w:rPr>
  </w:style>
  <w:style w:type="character" w:styleId="FollowedHyperlink">
    <w:name w:val="FollowedHyperlink"/>
    <w:basedOn w:val="DefaultParagraphFont"/>
    <w:uiPriority w:val="99"/>
    <w:semiHidden/>
    <w:unhideWhenUsed/>
    <w:rsid w:val="00F76F98"/>
    <w:rPr>
      <w:color w:val="FF9E1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pubs.org/doi/pdf/10.1200/JCO.24.010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ringworkstx.com/gomekli-prescribing-info" TargetMode="External"/></Relationships>
</file>

<file path=word/theme/theme1.xml><?xml version="1.0" encoding="utf-8"?>
<a:theme xmlns:a="http://schemas.openxmlformats.org/drawingml/2006/main" name="Office Theme">
  <a:themeElements>
    <a:clrScheme name="SpringWorks">
      <a:dk1>
        <a:srgbClr val="FFFFFF"/>
      </a:dk1>
      <a:lt1>
        <a:srgbClr val="11322C"/>
      </a:lt1>
      <a:dk2>
        <a:srgbClr val="AEA8A5"/>
      </a:dk2>
      <a:lt2>
        <a:srgbClr val="001E61"/>
      </a:lt2>
      <a:accent1>
        <a:srgbClr val="00A0AC"/>
      </a:accent1>
      <a:accent2>
        <a:srgbClr val="005EA7"/>
      </a:accent2>
      <a:accent3>
        <a:srgbClr val="509E2F"/>
      </a:accent3>
      <a:accent4>
        <a:srgbClr val="1FC0DA"/>
      </a:accent4>
      <a:accent5>
        <a:srgbClr val="046937"/>
      </a:accent5>
      <a:accent6>
        <a:srgbClr val="DA1883"/>
      </a:accent6>
      <a:hlink>
        <a:srgbClr val="407EC9"/>
      </a:hlink>
      <a:folHlink>
        <a:srgbClr val="FF9E1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7BDF-1365-E14F-9EAC-C4754C6D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Griffin</dc:creator>
  <cp:keywords/>
  <dc:description/>
  <cp:lastModifiedBy>Nicolette Greco</cp:lastModifiedBy>
  <cp:revision>12</cp:revision>
  <cp:lastPrinted>2018-11-09T22:22:00Z</cp:lastPrinted>
  <dcterms:created xsi:type="dcterms:W3CDTF">2025-05-06T21:08:00Z</dcterms:created>
  <dcterms:modified xsi:type="dcterms:W3CDTF">2025-05-13T18:43:00Z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2024-09-11T21:09:15Z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9fc3ae77-75a1-48ad-8fb1-308a5b099de1</vt:lpwstr>
  </property>
  <property fmtid="{D5CDD505-2E9C-101B-9397-08002B2CF9AE}" pid="8" name="MSIP_Label_06c72328-dea9-4aa4-8c21-1bb9517302d1_ContentBits">
    <vt:lpwstr>0</vt:lpwstr>
  </property>
</Properties>
</file>